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15</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A5265" w:rsidRDefault="005D79FB">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070EE7" w:rsidP="00070EE7">
            <w:pPr>
              <w:suppressLineNumbers/>
              <w:rPr>
                <w:b/>
                <w:bCs/>
                <w:noProof w:val="0"/>
                <w:sz w:val="26"/>
                <w:szCs w:val="26"/>
              </w:rPr>
            </w:pPr>
            <w:r>
              <w:rPr>
                <w:rFonts w:ascii="Arial" w:hAnsi="Arial" w:hint="cs"/>
                <w:b/>
                <w:bCs/>
                <w:noProof w:val="0"/>
                <w:sz w:val="26"/>
                <w:szCs w:val="26"/>
              </w:rPr>
              <w:t>XXX</w:t>
            </w:r>
            <w:r w:rsidR="00064651">
              <w:rPr>
                <w:rFonts w:ascii="Arial" w:hAnsi="Arial"/>
                <w:b/>
                <w:bCs/>
                <w:noProof w:val="0"/>
                <w:sz w:val="26"/>
                <w:szCs w:val="26"/>
                <w:rtl/>
              </w:rPr>
              <w:t xml:space="preserve"> </w:t>
            </w: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D79FB" w:rsidP="00D44968">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94424E" w:rsidRPr="00E54CD9" w:rsidRDefault="00070EE7" w:rsidP="00070EE7">
            <w:pPr>
              <w:suppressLineNumbers/>
              <w:rPr>
                <w:rFonts w:ascii="Arial" w:hAnsi="Arial"/>
                <w:b/>
                <w:bCs/>
                <w:noProof w:val="0"/>
                <w:sz w:val="26"/>
                <w:szCs w:val="26"/>
                <w:rtl/>
              </w:rPr>
            </w:pPr>
            <w:r>
              <w:rPr>
                <w:rFonts w:ascii="Arial" w:hAnsi="Arial" w:hint="cs"/>
                <w:b/>
                <w:bCs/>
                <w:noProof w:val="0"/>
                <w:sz w:val="26"/>
                <w:szCs w:val="26"/>
              </w:rPr>
              <w:t>XXX</w:t>
            </w:r>
            <w:r w:rsidR="00064651">
              <w:rPr>
                <w:rFonts w:ascii="Arial" w:hAnsi="Arial"/>
                <w:b/>
                <w:bCs/>
                <w:noProof w:val="0"/>
                <w:sz w:val="26"/>
                <w:szCs w:val="26"/>
                <w:rtl/>
              </w:rPr>
              <w:t xml:space="preserve"> </w:t>
            </w:r>
            <w:r>
              <w:rPr>
                <w:rFonts w:ascii="Arial" w:hAnsi="Arial" w:hint="cs"/>
                <w:b/>
                <w:bCs/>
                <w:noProof w:val="0"/>
                <w:sz w:val="26"/>
                <w:szCs w:val="26"/>
              </w:rPr>
              <w:t>XXX</w:t>
            </w:r>
            <w:r w:rsidR="00E54CD9">
              <w:rPr>
                <w:rFonts w:hint="cs"/>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694556" w:rsidRPr="00DE1E7D">
        <w:trPr>
          <w:jc w:val="center"/>
        </w:trPr>
        <w:tc>
          <w:tcPr>
            <w:tcW w:w="8820" w:type="dxa"/>
            <w:gridSpan w:val="4"/>
          </w:tcPr>
          <w:p w:rsidR="005D79FB" w:rsidRDefault="005D79FB">
            <w:pPr>
              <w:bidi w:val="0"/>
              <w:jc w:val="center"/>
              <w:rPr>
                <w:rFonts w:ascii="Arial" w:hAnsi="Arial"/>
                <w:b/>
                <w:bCs/>
                <w:noProof w:val="0"/>
                <w:sz w:val="28"/>
                <w:szCs w:val="28"/>
                <w:u w:val="single"/>
                <w:rtl/>
              </w:rPr>
            </w:pPr>
          </w:p>
          <w:p w:rsidR="00694556" w:rsidRDefault="00180519" w:rsidP="005D79FB">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5D79FB" w:rsidP="005D79FB">
      <w:pPr>
        <w:spacing w:line="360" w:lineRule="auto"/>
        <w:jc w:val="both"/>
        <w:rPr>
          <w:rFonts w:ascii="Arial" w:hAnsi="Arial"/>
          <w:noProof w:val="0"/>
          <w:rtl/>
        </w:rPr>
      </w:pPr>
      <w:bookmarkStart w:id="1" w:name="NGCSBookmark"/>
      <w:bookmarkEnd w:id="1"/>
      <w:r>
        <w:rPr>
          <w:rFonts w:ascii="Arial" w:hAnsi="Arial" w:hint="cs"/>
          <w:noProof w:val="0"/>
          <w:rtl/>
        </w:rPr>
        <w:t>בפני בקשת המבקשת</w:t>
      </w:r>
      <w:r w:rsidR="00D4125F">
        <w:rPr>
          <w:rFonts w:ascii="Arial" w:hAnsi="Arial" w:hint="cs"/>
          <w:noProof w:val="0"/>
          <w:rtl/>
        </w:rPr>
        <w:t>,</w:t>
      </w:r>
      <w:r>
        <w:rPr>
          <w:rFonts w:ascii="Arial" w:hAnsi="Arial" w:hint="cs"/>
          <w:noProof w:val="0"/>
          <w:rtl/>
        </w:rPr>
        <w:t xml:space="preserve"> שהוגשה ביום 8.5.24</w:t>
      </w:r>
      <w:r w:rsidR="00D4125F">
        <w:rPr>
          <w:rFonts w:ascii="Arial" w:hAnsi="Arial" w:hint="cs"/>
          <w:noProof w:val="0"/>
          <w:rtl/>
        </w:rPr>
        <w:t>,</w:t>
      </w:r>
      <w:r>
        <w:rPr>
          <w:rFonts w:ascii="Arial" w:hAnsi="Arial" w:hint="cs"/>
          <w:noProof w:val="0"/>
          <w:rtl/>
        </w:rPr>
        <w:t xml:space="preserve"> כי אפסול עצמי מלדון בכלל ההליכים המתנהלים בפני, לאחר שהוגשה תגובת המשיב אני נדרש להכריע בבקשה וכמפורט להלן:</w:t>
      </w:r>
    </w:p>
    <w:p w:rsidR="005D79FB" w:rsidRDefault="005D79FB" w:rsidP="005D79FB">
      <w:pPr>
        <w:spacing w:line="360" w:lineRule="auto"/>
        <w:jc w:val="both"/>
        <w:rPr>
          <w:rFonts w:ascii="Arial" w:hAnsi="Arial"/>
          <w:noProof w:val="0"/>
          <w:rtl/>
        </w:rPr>
      </w:pPr>
    </w:p>
    <w:p w:rsidR="005D79FB" w:rsidRDefault="00D4125F" w:rsidP="005D79FB">
      <w:pPr>
        <w:spacing w:line="360" w:lineRule="auto"/>
        <w:jc w:val="both"/>
        <w:rPr>
          <w:rFonts w:ascii="Arial" w:hAnsi="Arial"/>
          <w:b/>
          <w:bCs/>
          <w:noProof w:val="0"/>
          <w:u w:val="single"/>
          <w:rtl/>
        </w:rPr>
      </w:pPr>
      <w:r>
        <w:rPr>
          <w:rFonts w:ascii="Arial" w:hAnsi="Arial" w:hint="cs"/>
          <w:b/>
          <w:bCs/>
          <w:noProof w:val="0"/>
          <w:u w:val="single"/>
          <w:rtl/>
        </w:rPr>
        <w:t xml:space="preserve">רקע </w:t>
      </w:r>
      <w:r w:rsidR="005D79FB" w:rsidRPr="005D79FB">
        <w:rPr>
          <w:rFonts w:ascii="Arial" w:hAnsi="Arial" w:hint="cs"/>
          <w:b/>
          <w:bCs/>
          <w:noProof w:val="0"/>
          <w:u w:val="single"/>
          <w:rtl/>
        </w:rPr>
        <w:t>בקצרה:</w:t>
      </w:r>
    </w:p>
    <w:p w:rsidR="00D4125F" w:rsidRDefault="00D4125F" w:rsidP="00070EE7">
      <w:pPr>
        <w:pStyle w:val="ad"/>
        <w:numPr>
          <w:ilvl w:val="0"/>
          <w:numId w:val="1"/>
        </w:numPr>
        <w:spacing w:line="360" w:lineRule="auto"/>
        <w:jc w:val="both"/>
        <w:rPr>
          <w:rFonts w:ascii="Arial" w:hAnsi="Arial"/>
          <w:noProof w:val="0"/>
        </w:rPr>
      </w:pPr>
      <w:r w:rsidRPr="00944EE7">
        <w:rPr>
          <w:rFonts w:ascii="Arial" w:hAnsi="Arial" w:hint="cs"/>
          <w:noProof w:val="0"/>
          <w:rtl/>
        </w:rPr>
        <w:t xml:space="preserve">הצדדים שבפניי הינם בני זוג לשעבר שנישאו בנישואים אזרחיים ביום 12.08.2011 בעיר </w:t>
      </w:r>
      <w:r w:rsidR="00070EE7">
        <w:rPr>
          <w:rFonts w:ascii="Arial" w:hAnsi="Arial" w:hint="cs"/>
          <w:noProof w:val="0"/>
        </w:rPr>
        <w:t>XXX</w:t>
      </w:r>
      <w:r w:rsidR="00944EE7">
        <w:rPr>
          <w:rFonts w:ascii="Arial" w:hAnsi="Arial" w:hint="cs"/>
          <w:noProof w:val="0"/>
          <w:rtl/>
        </w:rPr>
        <w:t>. מנישואים אלה נולדה לצדדים ילדה אחת, ביום 6.02.2013.</w:t>
      </w:r>
    </w:p>
    <w:p w:rsidR="00944EE7" w:rsidRDefault="00944EE7" w:rsidP="00944EE7">
      <w:pPr>
        <w:pStyle w:val="ad"/>
        <w:numPr>
          <w:ilvl w:val="0"/>
          <w:numId w:val="1"/>
        </w:numPr>
        <w:spacing w:line="360" w:lineRule="auto"/>
        <w:jc w:val="both"/>
        <w:rPr>
          <w:rFonts w:ascii="Arial" w:hAnsi="Arial"/>
          <w:noProof w:val="0"/>
        </w:rPr>
      </w:pPr>
      <w:r>
        <w:rPr>
          <w:rFonts w:ascii="Arial" w:hAnsi="Arial" w:hint="cs"/>
          <w:noProof w:val="0"/>
          <w:rtl/>
        </w:rPr>
        <w:t>בין הצדדים התנהלו ומתנהלים מספר הליכים שבירורם טרם הסתיים והמחלוקות שנותרו בין הצדדים מתבררות במסגרת ההליכים שנותרו.</w:t>
      </w:r>
    </w:p>
    <w:p w:rsidR="00430918" w:rsidRDefault="00944EE7" w:rsidP="00736B93">
      <w:pPr>
        <w:pStyle w:val="ad"/>
        <w:numPr>
          <w:ilvl w:val="0"/>
          <w:numId w:val="1"/>
        </w:numPr>
        <w:spacing w:line="360" w:lineRule="auto"/>
        <w:jc w:val="both"/>
        <w:rPr>
          <w:rFonts w:ascii="Arial" w:hAnsi="Arial"/>
          <w:noProof w:val="0"/>
        </w:rPr>
      </w:pPr>
      <w:r>
        <w:rPr>
          <w:rFonts w:ascii="Arial" w:hAnsi="Arial" w:hint="cs"/>
          <w:noProof w:val="0"/>
          <w:rtl/>
        </w:rPr>
        <w:t>להבנת הרקע שהוביל לבקשה שבפניי א</w:t>
      </w:r>
      <w:r w:rsidR="00736B93">
        <w:rPr>
          <w:rFonts w:ascii="Arial" w:hAnsi="Arial" w:hint="cs"/>
          <w:noProof w:val="0"/>
          <w:rtl/>
        </w:rPr>
        <w:t>פרט</w:t>
      </w:r>
      <w:r w:rsidR="00430918">
        <w:rPr>
          <w:rFonts w:ascii="Arial" w:hAnsi="Arial" w:hint="cs"/>
          <w:noProof w:val="0"/>
          <w:rtl/>
        </w:rPr>
        <w:t xml:space="preserve"> ההליכים שבין הצדדים.</w:t>
      </w:r>
    </w:p>
    <w:p w:rsidR="00944EE7" w:rsidRPr="00D307CE" w:rsidRDefault="00430918" w:rsidP="0078394D">
      <w:pPr>
        <w:pStyle w:val="ad"/>
        <w:numPr>
          <w:ilvl w:val="0"/>
          <w:numId w:val="3"/>
        </w:numPr>
        <w:spacing w:line="360" w:lineRule="auto"/>
        <w:jc w:val="both"/>
        <w:rPr>
          <w:rFonts w:ascii="Arial" w:hAnsi="Arial"/>
          <w:b/>
          <w:bCs/>
          <w:noProof w:val="0"/>
        </w:rPr>
      </w:pPr>
      <w:r w:rsidRPr="0078394D">
        <w:rPr>
          <w:rFonts w:ascii="David" w:hAnsi="David"/>
          <w:b/>
          <w:bCs/>
          <w:noProof w:val="0"/>
          <w:u w:val="single"/>
          <w:rtl/>
        </w:rPr>
        <w:t xml:space="preserve">ה"ט </w:t>
      </w:r>
      <w:r w:rsidR="0078394D" w:rsidRPr="0078394D">
        <w:rPr>
          <w:rFonts w:ascii="David" w:hAnsi="David"/>
          <w:b/>
          <w:bCs/>
          <w:noProof w:val="0"/>
          <w:u w:val="single"/>
        </w:rPr>
        <w:t>22</w:t>
      </w:r>
      <w:r w:rsidRPr="0078394D">
        <w:rPr>
          <w:rFonts w:ascii="David" w:hAnsi="David"/>
          <w:b/>
          <w:bCs/>
          <w:noProof w:val="0"/>
          <w:u w:val="single"/>
          <w:rtl/>
        </w:rPr>
        <w:t>-</w:t>
      </w:r>
      <w:r w:rsidR="0078394D" w:rsidRPr="0078394D">
        <w:rPr>
          <w:rFonts w:ascii="David" w:hAnsi="David"/>
          <w:b/>
          <w:bCs/>
          <w:noProof w:val="0"/>
          <w:u w:val="single"/>
        </w:rPr>
        <w:t>07</w:t>
      </w:r>
      <w:r w:rsidRPr="0078394D">
        <w:rPr>
          <w:rFonts w:ascii="David" w:hAnsi="David"/>
          <w:b/>
          <w:bCs/>
          <w:noProof w:val="0"/>
          <w:u w:val="single"/>
          <w:rtl/>
        </w:rPr>
        <w:t>-</w:t>
      </w:r>
      <w:r w:rsidR="0078394D" w:rsidRPr="0078394D">
        <w:rPr>
          <w:rFonts w:ascii="David" w:hAnsi="David"/>
          <w:b/>
          <w:bCs/>
          <w:noProof w:val="0"/>
          <w:u w:val="single"/>
        </w:rPr>
        <w:t>51046</w:t>
      </w:r>
      <w:r w:rsidR="00944EE7" w:rsidRPr="00D307CE">
        <w:rPr>
          <w:rFonts w:ascii="Arial" w:hAnsi="Arial" w:hint="cs"/>
          <w:b/>
          <w:bCs/>
          <w:noProof w:val="0"/>
          <w:u w:val="single"/>
          <w:rtl/>
        </w:rPr>
        <w:t xml:space="preserve"> </w:t>
      </w:r>
      <w:r w:rsidRPr="00D307CE">
        <w:rPr>
          <w:rFonts w:ascii="Arial" w:hAnsi="Arial"/>
          <w:b/>
          <w:bCs/>
          <w:noProof w:val="0"/>
          <w:u w:val="single"/>
          <w:rtl/>
        </w:rPr>
        <w:t>–</w:t>
      </w:r>
      <w:r w:rsidRPr="00D307CE">
        <w:rPr>
          <w:rFonts w:ascii="Arial" w:hAnsi="Arial" w:hint="cs"/>
          <w:b/>
          <w:bCs/>
          <w:noProof w:val="0"/>
          <w:u w:val="single"/>
          <w:rtl/>
        </w:rPr>
        <w:t xml:space="preserve"> בקשה למתן צו הגנה</w:t>
      </w:r>
      <w:r w:rsidRPr="00D307CE">
        <w:rPr>
          <w:rFonts w:ascii="Arial" w:hAnsi="Arial" w:hint="cs"/>
          <w:b/>
          <w:bCs/>
          <w:noProof w:val="0"/>
          <w:rtl/>
        </w:rPr>
        <w:t>.</w:t>
      </w:r>
    </w:p>
    <w:p w:rsidR="009F4269" w:rsidRDefault="00430918" w:rsidP="00430918">
      <w:pPr>
        <w:pStyle w:val="ad"/>
        <w:spacing w:line="360" w:lineRule="auto"/>
        <w:ind w:left="1080"/>
        <w:jc w:val="both"/>
        <w:rPr>
          <w:rFonts w:ascii="Arial" w:hAnsi="Arial"/>
          <w:noProof w:val="0"/>
          <w:rtl/>
        </w:rPr>
      </w:pPr>
      <w:r>
        <w:rPr>
          <w:rFonts w:ascii="Arial" w:hAnsi="Arial" w:hint="cs"/>
          <w:noProof w:val="0"/>
          <w:rtl/>
        </w:rPr>
        <w:t xml:space="preserve">ביום 25.07.22 הגיש המשיב כאן, בקשה למתן צו הגנה כנגד המבקשת </w:t>
      </w:r>
      <w:r w:rsidR="009F4269">
        <w:rPr>
          <w:rFonts w:ascii="Arial" w:hAnsi="Arial" w:hint="cs"/>
          <w:noProof w:val="0"/>
          <w:rtl/>
        </w:rPr>
        <w:t>בטענה כי המבקשת סובלת מאלכוהוליז</w:t>
      </w:r>
      <w:r w:rsidR="009F4269">
        <w:rPr>
          <w:rFonts w:ascii="Arial" w:hAnsi="Arial" w:hint="eastAsia"/>
          <w:noProof w:val="0"/>
          <w:rtl/>
        </w:rPr>
        <w:t>ם</w:t>
      </w:r>
      <w:r w:rsidR="009F4269">
        <w:rPr>
          <w:rFonts w:ascii="Arial" w:hAnsi="Arial" w:hint="cs"/>
          <w:noProof w:val="0"/>
          <w:rtl/>
        </w:rPr>
        <w:t>, שותה לשוכרה, נוהגת באלימות ובאיומים.</w:t>
      </w:r>
    </w:p>
    <w:p w:rsidR="001C1BFA" w:rsidRDefault="009F4269" w:rsidP="00430918">
      <w:pPr>
        <w:pStyle w:val="ad"/>
        <w:spacing w:line="360" w:lineRule="auto"/>
        <w:ind w:left="1080"/>
        <w:jc w:val="both"/>
        <w:rPr>
          <w:rFonts w:ascii="Arial" w:hAnsi="Arial"/>
          <w:noProof w:val="0"/>
          <w:rtl/>
        </w:rPr>
      </w:pPr>
      <w:r>
        <w:rPr>
          <w:rFonts w:ascii="Arial" w:hAnsi="Arial" w:hint="cs"/>
          <w:noProof w:val="0"/>
          <w:rtl/>
        </w:rPr>
        <w:t>ביום 25.7.22 ניתן צו הגנה ארעי ונקבע דיון במעמד שני הצדדים ליו</w:t>
      </w:r>
      <w:r w:rsidR="001C1BFA">
        <w:rPr>
          <w:rFonts w:ascii="Arial" w:hAnsi="Arial" w:hint="cs"/>
          <w:noProof w:val="0"/>
          <w:rtl/>
        </w:rPr>
        <w:t xml:space="preserve">ם 1.08.22. במהלך הדיון, אמרה המבקשת כי עשתה טעות, כי פנתה לקבלת טיפול לקבלת עזרה על מנת שתפסיק לשתות אלכוהול ושאינה מתנגדת למתן צו הגנה. המבקשת והמשיב העלו בדיון את רצונם לשמר את התא המשפחתי והמבקשת התחייבה לפנות לקבלת טיפול </w:t>
      </w:r>
      <w:r w:rsidR="00736B93">
        <w:rPr>
          <w:rFonts w:ascii="Arial" w:hAnsi="Arial" w:hint="cs"/>
          <w:noProof w:val="0"/>
          <w:rtl/>
        </w:rPr>
        <w:t xml:space="preserve">בקהילה </w:t>
      </w:r>
      <w:r w:rsidR="001C1BFA">
        <w:rPr>
          <w:rFonts w:ascii="Arial" w:hAnsi="Arial" w:hint="cs"/>
          <w:noProof w:val="0"/>
          <w:rtl/>
        </w:rPr>
        <w:t xml:space="preserve">בבעיית האלכוהול </w:t>
      </w:r>
      <w:r w:rsidR="00736B93">
        <w:rPr>
          <w:rFonts w:ascii="Arial" w:hAnsi="Arial" w:hint="cs"/>
          <w:noProof w:val="0"/>
          <w:rtl/>
        </w:rPr>
        <w:t>ו</w:t>
      </w:r>
      <w:r w:rsidR="001C1BFA">
        <w:rPr>
          <w:rFonts w:ascii="Arial" w:hAnsi="Arial" w:hint="cs"/>
          <w:noProof w:val="0"/>
          <w:rtl/>
        </w:rPr>
        <w:t>לטובת התא המשפחתי.</w:t>
      </w:r>
    </w:p>
    <w:p w:rsidR="00430918" w:rsidRDefault="001C1BFA" w:rsidP="00430918">
      <w:pPr>
        <w:pStyle w:val="ad"/>
        <w:spacing w:line="360" w:lineRule="auto"/>
        <w:ind w:left="1080"/>
        <w:jc w:val="both"/>
        <w:rPr>
          <w:rFonts w:ascii="Arial" w:hAnsi="Arial"/>
          <w:noProof w:val="0"/>
          <w:rtl/>
        </w:rPr>
      </w:pPr>
      <w:r>
        <w:rPr>
          <w:rFonts w:ascii="Arial" w:hAnsi="Arial" w:hint="cs"/>
          <w:noProof w:val="0"/>
          <w:rtl/>
        </w:rPr>
        <w:t>בהתאם להצהרת כו</w:t>
      </w:r>
      <w:r w:rsidR="00736B93">
        <w:rPr>
          <w:rFonts w:ascii="Arial" w:hAnsi="Arial" w:hint="cs"/>
          <w:noProof w:val="0"/>
          <w:rtl/>
        </w:rPr>
        <w:t xml:space="preserve">ונות הצדדים לשימור התא המשפחתי, </w:t>
      </w:r>
      <w:r>
        <w:rPr>
          <w:rFonts w:ascii="Arial" w:hAnsi="Arial" w:hint="cs"/>
          <w:noProof w:val="0"/>
          <w:rtl/>
        </w:rPr>
        <w:t>הצהרת המבקשת והתחייבותה לק</w:t>
      </w:r>
      <w:r w:rsidR="00AD0B88">
        <w:rPr>
          <w:rFonts w:ascii="Arial" w:hAnsi="Arial" w:hint="cs"/>
          <w:noProof w:val="0"/>
          <w:rtl/>
        </w:rPr>
        <w:t>בלת טיפול בבעיית האלכוהול, הוריתי על ביטול צו ההגנה ואיחלתי לצדדים הצלחה.</w:t>
      </w:r>
      <w:r>
        <w:rPr>
          <w:rFonts w:ascii="Arial" w:hAnsi="Arial" w:hint="cs"/>
          <w:noProof w:val="0"/>
          <w:rtl/>
        </w:rPr>
        <w:t xml:space="preserve"> </w:t>
      </w:r>
      <w:r w:rsidR="009F4269">
        <w:rPr>
          <w:rFonts w:ascii="Arial" w:hAnsi="Arial" w:hint="cs"/>
          <w:noProof w:val="0"/>
          <w:rtl/>
        </w:rPr>
        <w:t xml:space="preserve"> </w:t>
      </w:r>
    </w:p>
    <w:p w:rsidR="00D307CE" w:rsidRDefault="00D307CE" w:rsidP="00430918">
      <w:pPr>
        <w:pStyle w:val="ad"/>
        <w:spacing w:line="360" w:lineRule="auto"/>
        <w:ind w:left="1080"/>
        <w:jc w:val="both"/>
        <w:rPr>
          <w:rFonts w:ascii="Arial" w:hAnsi="Arial"/>
          <w:noProof w:val="0"/>
        </w:rPr>
      </w:pPr>
    </w:p>
    <w:p w:rsidR="00430918" w:rsidRPr="0078394D" w:rsidRDefault="00AD0B88" w:rsidP="0078394D">
      <w:pPr>
        <w:pStyle w:val="ad"/>
        <w:numPr>
          <w:ilvl w:val="0"/>
          <w:numId w:val="3"/>
        </w:numPr>
        <w:spacing w:line="360" w:lineRule="auto"/>
        <w:jc w:val="both"/>
        <w:rPr>
          <w:rFonts w:ascii="David" w:hAnsi="David"/>
          <w:b/>
          <w:bCs/>
          <w:noProof w:val="0"/>
          <w:u w:val="single"/>
        </w:rPr>
      </w:pPr>
      <w:r w:rsidRPr="0078394D">
        <w:rPr>
          <w:rFonts w:ascii="David" w:hAnsi="David"/>
          <w:b/>
          <w:bCs/>
          <w:noProof w:val="0"/>
          <w:u w:val="single"/>
          <w:rtl/>
        </w:rPr>
        <w:lastRenderedPageBreak/>
        <w:t xml:space="preserve">ה"ט </w:t>
      </w:r>
      <w:r w:rsidR="0078394D">
        <w:rPr>
          <w:rFonts w:ascii="David" w:hAnsi="David"/>
          <w:b/>
          <w:bCs/>
          <w:noProof w:val="0"/>
          <w:u w:val="single"/>
        </w:rPr>
        <w:t>23</w:t>
      </w:r>
      <w:r w:rsidRPr="0078394D">
        <w:rPr>
          <w:rFonts w:ascii="David" w:hAnsi="David"/>
          <w:b/>
          <w:bCs/>
          <w:noProof w:val="0"/>
          <w:u w:val="single"/>
          <w:rtl/>
        </w:rPr>
        <w:t>-</w:t>
      </w:r>
      <w:r w:rsidR="0078394D">
        <w:rPr>
          <w:rFonts w:ascii="David" w:hAnsi="David"/>
          <w:b/>
          <w:bCs/>
          <w:noProof w:val="0"/>
          <w:u w:val="single"/>
        </w:rPr>
        <w:t>05</w:t>
      </w:r>
      <w:r w:rsidRPr="0078394D">
        <w:rPr>
          <w:rFonts w:ascii="David" w:hAnsi="David"/>
          <w:b/>
          <w:bCs/>
          <w:noProof w:val="0"/>
          <w:u w:val="single"/>
          <w:rtl/>
        </w:rPr>
        <w:t>-</w:t>
      </w:r>
      <w:r w:rsidR="0078394D">
        <w:rPr>
          <w:rFonts w:ascii="David" w:hAnsi="David"/>
          <w:b/>
          <w:bCs/>
          <w:noProof w:val="0"/>
          <w:u w:val="single"/>
        </w:rPr>
        <w:t>70078</w:t>
      </w:r>
      <w:r w:rsidRPr="0078394D">
        <w:rPr>
          <w:rFonts w:ascii="David" w:hAnsi="David"/>
          <w:b/>
          <w:bCs/>
          <w:noProof w:val="0"/>
          <w:u w:val="single"/>
          <w:rtl/>
        </w:rPr>
        <w:t xml:space="preserve"> – בקשה למתן צו הגנה.</w:t>
      </w:r>
    </w:p>
    <w:p w:rsidR="00AD0B88" w:rsidRDefault="00AD0B88" w:rsidP="00AD0B88">
      <w:pPr>
        <w:pStyle w:val="ad"/>
        <w:spacing w:line="360" w:lineRule="auto"/>
        <w:ind w:left="1080"/>
        <w:jc w:val="both"/>
        <w:rPr>
          <w:rFonts w:ascii="Arial" w:hAnsi="Arial"/>
          <w:noProof w:val="0"/>
          <w:rtl/>
        </w:rPr>
      </w:pPr>
      <w:r w:rsidRPr="00AD0B88">
        <w:rPr>
          <w:rFonts w:ascii="Arial" w:hAnsi="Arial" w:hint="cs"/>
          <w:noProof w:val="0"/>
          <w:rtl/>
        </w:rPr>
        <w:t>ביום 29.5.23 הגיש המשיב בקשה נוספת למתן צו הגנה כנגד המבקשת</w:t>
      </w:r>
      <w:r>
        <w:rPr>
          <w:rFonts w:ascii="Arial" w:hAnsi="Arial" w:hint="cs"/>
          <w:noProof w:val="0"/>
          <w:rtl/>
        </w:rPr>
        <w:t xml:space="preserve"> בטענה כי זו נוהגת באלימות פיזית ומילולית כלפיי הסובבים אותה, נוהגת בשכרות וכי המשיבה אלכוהוליסטי</w:t>
      </w:r>
      <w:r>
        <w:rPr>
          <w:rFonts w:ascii="Arial" w:hAnsi="Arial" w:hint="eastAsia"/>
          <w:noProof w:val="0"/>
          <w:rtl/>
        </w:rPr>
        <w:t>ת</w:t>
      </w:r>
      <w:r>
        <w:rPr>
          <w:rFonts w:ascii="Arial" w:hAnsi="Arial" w:hint="cs"/>
          <w:noProof w:val="0"/>
          <w:rtl/>
        </w:rPr>
        <w:t xml:space="preserve"> המטופלת ברווחה</w:t>
      </w:r>
      <w:r w:rsidR="000F1B3E">
        <w:rPr>
          <w:rFonts w:ascii="Arial" w:hAnsi="Arial" w:hint="cs"/>
          <w:noProof w:val="0"/>
          <w:rtl/>
        </w:rPr>
        <w:t xml:space="preserve"> ומסרבת לקבל הטיפול, חושפת הקטינה המשותפת לתכנים לא ראויים</w:t>
      </w:r>
      <w:r>
        <w:rPr>
          <w:rFonts w:ascii="Arial" w:hAnsi="Arial" w:hint="cs"/>
          <w:noProof w:val="0"/>
          <w:rtl/>
        </w:rPr>
        <w:t xml:space="preserve">. במסגרת הבקשה נטען כי ביום 28.5.23 ניסתה המבקשת להתאבד </w:t>
      </w:r>
      <w:r w:rsidR="000F1B3E">
        <w:rPr>
          <w:rFonts w:ascii="Arial" w:hAnsi="Arial" w:hint="cs"/>
          <w:noProof w:val="0"/>
          <w:rtl/>
        </w:rPr>
        <w:t xml:space="preserve">באמצעות נטילת כדורים. </w:t>
      </w:r>
      <w:r w:rsidR="004A3EFE">
        <w:rPr>
          <w:rFonts w:ascii="Arial" w:hAnsi="Arial" w:hint="cs"/>
          <w:noProof w:val="0"/>
          <w:rtl/>
        </w:rPr>
        <w:t xml:space="preserve">ביום 29.5.23 ניתן צו הגנה </w:t>
      </w:r>
      <w:r w:rsidR="007C1406">
        <w:rPr>
          <w:rFonts w:ascii="Arial" w:hAnsi="Arial" w:hint="cs"/>
          <w:noProof w:val="0"/>
          <w:rtl/>
        </w:rPr>
        <w:t>ארעי ובו הוראות לעו"ס לסדרי דין לבחון הצורך בהתערבות גורמי הרווחה, וכן נקבע לדיון במעמד הצדדים ליום 4.6.23.</w:t>
      </w:r>
    </w:p>
    <w:p w:rsidR="007C1406" w:rsidRDefault="007C1406" w:rsidP="00AD0B88">
      <w:pPr>
        <w:pStyle w:val="ad"/>
        <w:spacing w:line="360" w:lineRule="auto"/>
        <w:ind w:left="1080"/>
        <w:jc w:val="both"/>
        <w:rPr>
          <w:rFonts w:ascii="Arial" w:hAnsi="Arial"/>
          <w:noProof w:val="0"/>
          <w:rtl/>
        </w:rPr>
      </w:pPr>
      <w:r>
        <w:rPr>
          <w:rFonts w:ascii="Arial" w:hAnsi="Arial" w:hint="cs"/>
          <w:noProof w:val="0"/>
          <w:rtl/>
        </w:rPr>
        <w:t xml:space="preserve">ביום 2.6.23 הוגש תסקיר העו"ס לס"ד, </w:t>
      </w:r>
      <w:r w:rsidR="00736B93">
        <w:rPr>
          <w:rFonts w:ascii="Arial" w:hAnsi="Arial" w:hint="cs"/>
          <w:noProof w:val="0"/>
          <w:rtl/>
        </w:rPr>
        <w:t>במסגרתו סקרה העו"ס את מצב</w:t>
      </w:r>
      <w:r w:rsidR="00345B66">
        <w:rPr>
          <w:rFonts w:ascii="Arial" w:hAnsi="Arial" w:hint="cs"/>
          <w:noProof w:val="0"/>
          <w:rtl/>
        </w:rPr>
        <w:t xml:space="preserve"> המשפחה, הקשיים וה</w:t>
      </w:r>
      <w:r w:rsidR="00736B93">
        <w:rPr>
          <w:rFonts w:ascii="Arial" w:hAnsi="Arial" w:hint="cs"/>
          <w:noProof w:val="0"/>
          <w:rtl/>
        </w:rPr>
        <w:t>התמודדות אותה חווה המשפחה, כש</w:t>
      </w:r>
      <w:r w:rsidR="00345B66">
        <w:rPr>
          <w:rFonts w:ascii="Arial" w:hAnsi="Arial" w:hint="cs"/>
          <w:noProof w:val="0"/>
          <w:rtl/>
        </w:rPr>
        <w:t>ברקע הדברים עלתה התמכרות המבקשת לאלכוהול, ההתמודדות עם ההתמכרות, ניסיונות לקבלת טיפול ועזרה וכיו' והכל כמפורט בתסקיר.</w:t>
      </w:r>
    </w:p>
    <w:p w:rsidR="00B72AC6" w:rsidRDefault="00E47A2E" w:rsidP="007E6785">
      <w:pPr>
        <w:pStyle w:val="ad"/>
        <w:spacing w:line="360" w:lineRule="auto"/>
        <w:ind w:left="1080"/>
        <w:jc w:val="both"/>
        <w:rPr>
          <w:rFonts w:ascii="Arial" w:hAnsi="Arial"/>
          <w:noProof w:val="0"/>
          <w:rtl/>
        </w:rPr>
      </w:pPr>
      <w:r>
        <w:rPr>
          <w:rFonts w:ascii="Arial" w:hAnsi="Arial" w:hint="cs"/>
          <w:noProof w:val="0"/>
          <w:rtl/>
        </w:rPr>
        <w:t>דיון במעמד הצדדים התקיים ביום 4.6.24, במסגרתו נשמעו הצדדים וב"כ המשיבה. בדיון עלה כי הצדדים כבר אינם מתגוררים יחד, ולטענת המשיב עזב את בית המגורים המשותף לנוכח התנהגות המבקשת כלפיו הכוללת</w:t>
      </w:r>
      <w:r w:rsidR="00736B93">
        <w:rPr>
          <w:rFonts w:ascii="Arial" w:hAnsi="Arial" w:hint="cs"/>
          <w:noProof w:val="0"/>
          <w:rtl/>
        </w:rPr>
        <w:t>:</w:t>
      </w:r>
      <w:r>
        <w:rPr>
          <w:rFonts w:ascii="Arial" w:hAnsi="Arial" w:hint="cs"/>
          <w:noProof w:val="0"/>
          <w:rtl/>
        </w:rPr>
        <w:t xml:space="preserve"> צעקות, קללות, זריקת חפצים ואף אלימות פיזית וכאמור הכל לטענתו בעקבות השימוש באלכוהול. המבקשת מצידה טענה כי</w:t>
      </w:r>
      <w:r w:rsidR="007E6785">
        <w:rPr>
          <w:rFonts w:ascii="Arial" w:hAnsi="Arial" w:hint="cs"/>
          <w:noProof w:val="0"/>
          <w:rtl/>
        </w:rPr>
        <w:t xml:space="preserve"> הפסיקה ל</w:t>
      </w:r>
      <w:r w:rsidR="00736B93">
        <w:rPr>
          <w:rFonts w:ascii="Arial" w:hAnsi="Arial" w:hint="cs"/>
          <w:noProof w:val="0"/>
          <w:rtl/>
        </w:rPr>
        <w:t xml:space="preserve">שתות אלכוהול כחודש וחצי טרם </w:t>
      </w:r>
      <w:r w:rsidR="007E6785">
        <w:rPr>
          <w:rFonts w:ascii="Arial" w:hAnsi="Arial" w:hint="cs"/>
          <w:noProof w:val="0"/>
          <w:rtl/>
        </w:rPr>
        <w:t xml:space="preserve">מתן צו ההגנה במעמד צד אחד (29.5.23), והסבירה כי  פנתה לקבלת טיפול ב </w:t>
      </w:r>
      <w:r w:rsidR="007E6785">
        <w:rPr>
          <w:rFonts w:ascii="Arial" w:hAnsi="Arial"/>
          <w:noProof w:val="0"/>
          <w:rtl/>
        </w:rPr>
        <w:t>–</w:t>
      </w:r>
      <w:r w:rsidR="007E6785">
        <w:rPr>
          <w:rFonts w:ascii="Arial" w:hAnsi="Arial" w:hint="cs"/>
          <w:noProof w:val="0"/>
          <w:rtl/>
        </w:rPr>
        <w:t xml:space="preserve"> </w:t>
      </w:r>
      <w:r w:rsidR="007E6785">
        <w:rPr>
          <w:rFonts w:ascii="Arial" w:hAnsi="Arial" w:hint="cs"/>
          <w:noProof w:val="0"/>
        </w:rPr>
        <w:t>AA</w:t>
      </w:r>
      <w:r w:rsidR="007E6785">
        <w:rPr>
          <w:rFonts w:ascii="Arial" w:hAnsi="Arial" w:hint="cs"/>
          <w:noProof w:val="0"/>
          <w:rtl/>
        </w:rPr>
        <w:t xml:space="preserve"> בשילוב טיפול תרופתי ובקרוב תתחיל לעבוד ומתחילה שינוי בחייה. כמו-כן, הסבירה כי היו לה מספר נפילות והאירוע</w:t>
      </w:r>
      <w:r w:rsidR="00B72AC6">
        <w:rPr>
          <w:rFonts w:ascii="Arial" w:hAnsi="Arial" w:hint="cs"/>
          <w:noProof w:val="0"/>
          <w:rtl/>
        </w:rPr>
        <w:t xml:space="preserve"> שקדם לבקשה למתן צו ההגנה הוא לדבריה "הנפילה" האחרונה.</w:t>
      </w:r>
    </w:p>
    <w:p w:rsidR="00D62B08" w:rsidRDefault="00B72AC6" w:rsidP="007E6785">
      <w:pPr>
        <w:pStyle w:val="ad"/>
        <w:spacing w:line="360" w:lineRule="auto"/>
        <w:ind w:left="1080"/>
        <w:jc w:val="both"/>
        <w:rPr>
          <w:rFonts w:ascii="Arial" w:hAnsi="Arial"/>
          <w:noProof w:val="0"/>
          <w:rtl/>
        </w:rPr>
      </w:pPr>
      <w:r>
        <w:rPr>
          <w:rFonts w:ascii="Arial" w:hAnsi="Arial" w:hint="cs"/>
          <w:noProof w:val="0"/>
          <w:rtl/>
        </w:rPr>
        <w:t>הצדדים הגיעו להסכמה בדבר קיומם של מפגשים בין המבקשת והקטינה, הגשת תסקיר משלים וכן נרשמה התחייבות המבקשת להמשך קבלת טיפול בקהילה תוך הגשת דיווח לתיק.</w:t>
      </w:r>
    </w:p>
    <w:p w:rsidR="00345B66" w:rsidRDefault="00D62B08" w:rsidP="007E6785">
      <w:pPr>
        <w:pStyle w:val="ad"/>
        <w:spacing w:line="360" w:lineRule="auto"/>
        <w:ind w:left="1080"/>
        <w:jc w:val="both"/>
        <w:rPr>
          <w:rFonts w:ascii="Arial" w:hAnsi="Arial"/>
          <w:noProof w:val="0"/>
          <w:rtl/>
        </w:rPr>
      </w:pPr>
      <w:r>
        <w:rPr>
          <w:rFonts w:ascii="Arial" w:hAnsi="Arial" w:hint="cs"/>
          <w:noProof w:val="0"/>
          <w:rtl/>
        </w:rPr>
        <w:t xml:space="preserve">תסקיר נוסף הוגש לתיק ביום 3.7.23 במסגרתו דווח כי המבקשת </w:t>
      </w:r>
      <w:r w:rsidR="00BF541A">
        <w:rPr>
          <w:rFonts w:ascii="Arial" w:hAnsi="Arial" w:hint="cs"/>
          <w:noProof w:val="0"/>
          <w:rtl/>
        </w:rPr>
        <w:t xml:space="preserve">נמצאת בשלב התחלתי של גמילה ושיקום, </w:t>
      </w:r>
      <w:r>
        <w:rPr>
          <w:rFonts w:ascii="Arial" w:hAnsi="Arial" w:hint="cs"/>
          <w:noProof w:val="0"/>
          <w:rtl/>
        </w:rPr>
        <w:t>משתפת פעולה במסגרת טיפול במרכז לנפגעי אלכוהול ומגיעה לטיפול שלוש פעמים בשבוע, וכי הבדיקות בשלב זה נקיות. העו"ס דיווחה כי הצדדים מקיימים את החלטת ביהמ"ש בכל הקשור לקיומם של המפגשים בין האם והקטינה</w:t>
      </w:r>
      <w:r w:rsidR="00836BD8">
        <w:rPr>
          <w:rFonts w:ascii="Arial" w:hAnsi="Arial" w:hint="cs"/>
          <w:noProof w:val="0"/>
          <w:rtl/>
        </w:rPr>
        <w:t>.</w:t>
      </w:r>
      <w:r w:rsidR="00E47A2E">
        <w:rPr>
          <w:rFonts w:ascii="Arial" w:hAnsi="Arial" w:hint="cs"/>
          <w:noProof w:val="0"/>
          <w:rtl/>
        </w:rPr>
        <w:t xml:space="preserve"> </w:t>
      </w:r>
    </w:p>
    <w:p w:rsidR="00BF541A" w:rsidRPr="0078394D" w:rsidRDefault="00D307CE" w:rsidP="0078394D">
      <w:pPr>
        <w:pStyle w:val="ad"/>
        <w:numPr>
          <w:ilvl w:val="0"/>
          <w:numId w:val="3"/>
        </w:numPr>
        <w:spacing w:line="360" w:lineRule="auto"/>
        <w:jc w:val="both"/>
        <w:rPr>
          <w:rFonts w:ascii="David" w:hAnsi="David"/>
          <w:noProof w:val="0"/>
        </w:rPr>
      </w:pPr>
      <w:r w:rsidRPr="0078394D">
        <w:rPr>
          <w:rFonts w:ascii="David" w:hAnsi="David"/>
          <w:b/>
          <w:bCs/>
          <w:noProof w:val="0"/>
          <w:u w:val="single"/>
          <w:rtl/>
        </w:rPr>
        <w:t xml:space="preserve">י"ס </w:t>
      </w:r>
      <w:r w:rsidR="0078394D" w:rsidRPr="0078394D">
        <w:rPr>
          <w:rFonts w:ascii="David" w:hAnsi="David"/>
          <w:b/>
          <w:bCs/>
          <w:noProof w:val="0"/>
          <w:u w:val="single"/>
        </w:rPr>
        <w:t>23</w:t>
      </w:r>
      <w:r w:rsidRPr="0078394D">
        <w:rPr>
          <w:rFonts w:ascii="David" w:hAnsi="David"/>
          <w:b/>
          <w:bCs/>
          <w:noProof w:val="0"/>
          <w:u w:val="single"/>
          <w:rtl/>
        </w:rPr>
        <w:t>-</w:t>
      </w:r>
      <w:r w:rsidR="0078394D" w:rsidRPr="0078394D">
        <w:rPr>
          <w:rFonts w:ascii="David" w:hAnsi="David"/>
          <w:b/>
          <w:bCs/>
          <w:noProof w:val="0"/>
          <w:u w:val="single"/>
        </w:rPr>
        <w:t>06</w:t>
      </w:r>
      <w:r w:rsidRPr="0078394D">
        <w:rPr>
          <w:rFonts w:ascii="David" w:hAnsi="David"/>
          <w:b/>
          <w:bCs/>
          <w:noProof w:val="0"/>
          <w:u w:val="single"/>
          <w:rtl/>
        </w:rPr>
        <w:t>-</w:t>
      </w:r>
      <w:r w:rsidR="0078394D" w:rsidRPr="0078394D">
        <w:rPr>
          <w:rFonts w:ascii="David" w:hAnsi="David"/>
          <w:b/>
          <w:bCs/>
          <w:noProof w:val="0"/>
          <w:u w:val="single"/>
        </w:rPr>
        <w:t>31355</w:t>
      </w:r>
      <w:r w:rsidRPr="0078394D">
        <w:rPr>
          <w:rFonts w:ascii="David" w:hAnsi="David"/>
          <w:noProof w:val="0"/>
          <w:rtl/>
        </w:rPr>
        <w:t>.</w:t>
      </w:r>
    </w:p>
    <w:p w:rsidR="00D307CE" w:rsidRDefault="00D307CE" w:rsidP="00D307CE">
      <w:pPr>
        <w:pStyle w:val="ad"/>
        <w:spacing w:line="360" w:lineRule="auto"/>
        <w:ind w:left="1080"/>
        <w:jc w:val="both"/>
        <w:rPr>
          <w:rFonts w:ascii="Arial" w:hAnsi="Arial"/>
          <w:noProof w:val="0"/>
          <w:rtl/>
        </w:rPr>
      </w:pPr>
      <w:r>
        <w:rPr>
          <w:rFonts w:ascii="Arial" w:hAnsi="Arial" w:hint="cs"/>
          <w:noProof w:val="0"/>
          <w:rtl/>
        </w:rPr>
        <w:t>ביום 13.6.23 פתח המשיב בהליך ישוב סכסוך כנגד המבקשת. יחד עם הגשת הבקשה הוגשה בקשה למתן צו עיכוב יציאה מן הארץ ביחס לקטינה המשותפת</w:t>
      </w:r>
      <w:r w:rsidR="002523F1">
        <w:rPr>
          <w:rFonts w:ascii="Arial" w:hAnsi="Arial" w:hint="cs"/>
          <w:noProof w:val="0"/>
          <w:rtl/>
        </w:rPr>
        <w:t>, ובהיעדר תגובה מטעם המבקשת ניתן צו כמבוקש.</w:t>
      </w:r>
    </w:p>
    <w:p w:rsidR="00567F85" w:rsidRPr="00973267" w:rsidRDefault="002523F1" w:rsidP="0078394D">
      <w:pPr>
        <w:pStyle w:val="ad"/>
        <w:spacing w:line="360" w:lineRule="auto"/>
        <w:ind w:left="1080"/>
        <w:jc w:val="both"/>
        <w:rPr>
          <w:rFonts w:ascii="Arial" w:hAnsi="Arial"/>
          <w:noProof w:val="0"/>
          <w:rtl/>
        </w:rPr>
      </w:pPr>
      <w:r>
        <w:rPr>
          <w:rFonts w:ascii="Arial" w:hAnsi="Arial" w:hint="cs"/>
          <w:noProof w:val="0"/>
          <w:rtl/>
        </w:rPr>
        <w:t xml:space="preserve">ביום 10.7.23 הגישה המבקשת בקשה דחופה להרחבת זמני השהות בינה לבין הקטינה שנקבעו במסגרת תיק ה"ט </w:t>
      </w:r>
      <w:r w:rsidR="0078394D" w:rsidRPr="0078394D">
        <w:rPr>
          <w:rFonts w:ascii="David" w:hAnsi="David"/>
          <w:noProof w:val="0"/>
        </w:rPr>
        <w:t>23</w:t>
      </w:r>
      <w:r w:rsidRPr="0078394D">
        <w:rPr>
          <w:rFonts w:ascii="David" w:hAnsi="David"/>
          <w:noProof w:val="0"/>
          <w:rtl/>
        </w:rPr>
        <w:t>-</w:t>
      </w:r>
      <w:r w:rsidR="0078394D" w:rsidRPr="0078394D">
        <w:rPr>
          <w:rFonts w:ascii="David" w:hAnsi="David"/>
          <w:noProof w:val="0"/>
        </w:rPr>
        <w:t>05</w:t>
      </w:r>
      <w:r w:rsidRPr="0078394D">
        <w:rPr>
          <w:rFonts w:ascii="David" w:hAnsi="David"/>
          <w:noProof w:val="0"/>
          <w:rtl/>
        </w:rPr>
        <w:t>-</w:t>
      </w:r>
      <w:r w:rsidR="0078394D" w:rsidRPr="0078394D">
        <w:rPr>
          <w:rFonts w:ascii="David" w:hAnsi="David"/>
          <w:noProof w:val="0"/>
        </w:rPr>
        <w:t>70078</w:t>
      </w:r>
      <w:r>
        <w:rPr>
          <w:rFonts w:ascii="Arial" w:hAnsi="Arial" w:hint="cs"/>
          <w:noProof w:val="0"/>
          <w:rtl/>
        </w:rPr>
        <w:t xml:space="preserve"> תחת טענה כי באותו המועד המבקשת הייתה בתקופה קשה וצרכה אלכוהול וכיום היא נקייה ומתגוררת עם אימה.</w:t>
      </w:r>
      <w:r w:rsidR="001B2AC4">
        <w:rPr>
          <w:rFonts w:ascii="Arial" w:hAnsi="Arial" w:hint="cs"/>
          <w:noProof w:val="0"/>
          <w:rtl/>
        </w:rPr>
        <w:t xml:space="preserve"> המשיב הביע </w:t>
      </w:r>
      <w:r w:rsidR="001B2AC4">
        <w:rPr>
          <w:rFonts w:ascii="Arial" w:hAnsi="Arial" w:hint="cs"/>
          <w:noProof w:val="0"/>
          <w:rtl/>
        </w:rPr>
        <w:lastRenderedPageBreak/>
        <w:t xml:space="preserve">התנגדותו וטען כי בתסקיר שהוגש במסגרת הליך הה"ט אין המלצה על הרחבת זמני השהות עם המבקשת וביקש כי ביהמ"ש יאשר טיפול נפשי לקטינה והביע הסכמתו למימון חמשת המפגשים </w:t>
      </w:r>
      <w:r w:rsidR="00973267">
        <w:rPr>
          <w:rFonts w:ascii="Arial" w:hAnsi="Arial" w:hint="cs"/>
          <w:noProof w:val="0"/>
          <w:rtl/>
        </w:rPr>
        <w:t>ה</w:t>
      </w:r>
      <w:r w:rsidR="001B2AC4">
        <w:rPr>
          <w:rFonts w:ascii="Arial" w:hAnsi="Arial" w:hint="cs"/>
          <w:noProof w:val="0"/>
          <w:rtl/>
        </w:rPr>
        <w:t>ראשונים ולאחריהם ימומנו המפגשים בחלוקה שווה בין הצדדים.</w:t>
      </w:r>
      <w:r w:rsidR="00567F85">
        <w:rPr>
          <w:rFonts w:ascii="Arial" w:hAnsi="Arial" w:hint="cs"/>
          <w:noProof w:val="0"/>
          <w:rtl/>
        </w:rPr>
        <w:t xml:space="preserve"> בהחלטתי מיום 17.7.23 דחיתי הבקשה להרחבת זמני השהות עם המבקשת בין היתר נוכח כי זמני השהות נקבעו בהסכמת הצדדים, הזמן הקצר שחלף, האמור בתסקיר והדיון שהתקיים בפני. ביום 31.7.23 הוריתי על סגירת הליך הי"ס.</w:t>
      </w:r>
    </w:p>
    <w:p w:rsidR="00685658" w:rsidRDefault="00685658" w:rsidP="0078394D">
      <w:pPr>
        <w:pStyle w:val="ad"/>
        <w:numPr>
          <w:ilvl w:val="0"/>
          <w:numId w:val="3"/>
        </w:numPr>
        <w:spacing w:line="360" w:lineRule="auto"/>
        <w:jc w:val="both"/>
        <w:rPr>
          <w:rFonts w:ascii="Arial" w:hAnsi="Arial"/>
          <w:b/>
          <w:bCs/>
          <w:noProof w:val="0"/>
          <w:u w:val="single"/>
        </w:rPr>
      </w:pPr>
      <w:r>
        <w:rPr>
          <w:rFonts w:ascii="Arial" w:hAnsi="Arial" w:hint="cs"/>
          <w:b/>
          <w:bCs/>
          <w:noProof w:val="0"/>
          <w:u w:val="single"/>
          <w:rtl/>
        </w:rPr>
        <w:t xml:space="preserve">תלה"מ </w:t>
      </w:r>
      <w:r w:rsidR="0078394D" w:rsidRPr="0078394D">
        <w:rPr>
          <w:rFonts w:ascii="David" w:hAnsi="David"/>
          <w:b/>
          <w:bCs/>
          <w:noProof w:val="0"/>
          <w:u w:val="single"/>
        </w:rPr>
        <w:t>23</w:t>
      </w:r>
      <w:r w:rsidRPr="0078394D">
        <w:rPr>
          <w:rFonts w:ascii="David" w:hAnsi="David"/>
          <w:b/>
          <w:bCs/>
          <w:noProof w:val="0"/>
          <w:u w:val="single"/>
          <w:rtl/>
        </w:rPr>
        <w:t>-</w:t>
      </w:r>
      <w:r w:rsidR="0078394D" w:rsidRPr="0078394D">
        <w:rPr>
          <w:rFonts w:ascii="David" w:hAnsi="David"/>
          <w:b/>
          <w:bCs/>
          <w:noProof w:val="0"/>
          <w:u w:val="single"/>
        </w:rPr>
        <w:t>08</w:t>
      </w:r>
      <w:r w:rsidRPr="0078394D">
        <w:rPr>
          <w:rFonts w:ascii="David" w:hAnsi="David"/>
          <w:b/>
          <w:bCs/>
          <w:noProof w:val="0"/>
          <w:u w:val="single"/>
          <w:rtl/>
        </w:rPr>
        <w:t>-</w:t>
      </w:r>
      <w:r w:rsidR="0078394D" w:rsidRPr="0078394D">
        <w:rPr>
          <w:rFonts w:ascii="David" w:hAnsi="David"/>
          <w:b/>
          <w:bCs/>
          <w:noProof w:val="0"/>
          <w:u w:val="single"/>
        </w:rPr>
        <w:t>15866</w:t>
      </w:r>
      <w:r w:rsidRPr="0078394D">
        <w:rPr>
          <w:rFonts w:ascii="David" w:hAnsi="David"/>
          <w:b/>
          <w:bCs/>
          <w:noProof w:val="0"/>
          <w:u w:val="single"/>
          <w:rtl/>
        </w:rPr>
        <w:t xml:space="preserve"> –</w:t>
      </w:r>
      <w:r w:rsidR="00C2634D">
        <w:rPr>
          <w:rFonts w:ascii="Arial" w:hAnsi="Arial" w:hint="cs"/>
          <w:b/>
          <w:bCs/>
          <w:noProof w:val="0"/>
          <w:u w:val="single"/>
          <w:rtl/>
        </w:rPr>
        <w:t xml:space="preserve"> תובענה בעניין הקטינה</w:t>
      </w:r>
      <w:r>
        <w:rPr>
          <w:rFonts w:ascii="Arial" w:hAnsi="Arial" w:hint="cs"/>
          <w:b/>
          <w:bCs/>
          <w:noProof w:val="0"/>
          <w:u w:val="single"/>
          <w:rtl/>
        </w:rPr>
        <w:t>.</w:t>
      </w:r>
    </w:p>
    <w:p w:rsidR="00DB75F3" w:rsidRDefault="00685658" w:rsidP="00685658">
      <w:pPr>
        <w:pStyle w:val="ad"/>
        <w:spacing w:line="360" w:lineRule="auto"/>
        <w:ind w:left="1080"/>
        <w:jc w:val="both"/>
        <w:rPr>
          <w:rFonts w:ascii="Arial" w:hAnsi="Arial"/>
          <w:noProof w:val="0"/>
          <w:rtl/>
        </w:rPr>
      </w:pPr>
      <w:r>
        <w:rPr>
          <w:rFonts w:ascii="Arial" w:hAnsi="Arial" w:hint="cs"/>
          <w:noProof w:val="0"/>
          <w:rtl/>
        </w:rPr>
        <w:t xml:space="preserve">ביום 7.8.23 הגיש המשיב תובענה בעניין הקטינה במסגרתה עתר לקבלת המשמורת על הקטינה, </w:t>
      </w:r>
      <w:r w:rsidR="00DB75F3">
        <w:rPr>
          <w:rFonts w:ascii="Arial" w:hAnsi="Arial" w:hint="cs"/>
          <w:noProof w:val="0"/>
          <w:rtl/>
        </w:rPr>
        <w:t>לקבוע זמני שהות עם המבקשת בהתאם להמלצת העו"ס לס"ד, לחייב המבקשת בקבלת הדרכה הורית והמשך טיפול במרכז לגמילה מאלכוהול וסמים, ליתן בידו את המשמורת הזמנית על הקטינה ולאשר טיפול פסיכולוגי דחוף לקטינה.</w:t>
      </w:r>
    </w:p>
    <w:p w:rsidR="00685658" w:rsidRDefault="00DB75F3" w:rsidP="00685658">
      <w:pPr>
        <w:pStyle w:val="ad"/>
        <w:spacing w:line="360" w:lineRule="auto"/>
        <w:ind w:left="1080"/>
        <w:jc w:val="both"/>
        <w:rPr>
          <w:rFonts w:ascii="Arial" w:hAnsi="Arial"/>
          <w:noProof w:val="0"/>
          <w:rtl/>
        </w:rPr>
      </w:pPr>
      <w:r>
        <w:rPr>
          <w:rFonts w:ascii="Arial" w:hAnsi="Arial" w:hint="cs"/>
          <w:noProof w:val="0"/>
          <w:rtl/>
        </w:rPr>
        <w:t>בד בבד עם הגשת התובענה, הוגשה בקשה דחופה לקביעת המשמורת הזמנית על הקטינה אצל המשיב. בתגובת המבקשת טענה המבקשת</w:t>
      </w:r>
      <w:r w:rsidR="00AE6302">
        <w:rPr>
          <w:rFonts w:ascii="Arial" w:hAnsi="Arial" w:hint="cs"/>
          <w:noProof w:val="0"/>
          <w:rtl/>
        </w:rPr>
        <w:t>, בין היתר, כי אין מקום להיעתר לבקשה וכי מדובר במושג שחלף מן העולם, כי המבקשת עומדת על אחריות הורית משותפת, כי חדלה לשתות אלכוהול מזה כחודשיים, כי האב מסית הקטינה כנגדה, טענה בעניין התסקיר והדיון שהתקיים בהליך הה"ט וביקשה להרחיב את זמני השהות עימה.</w:t>
      </w:r>
      <w:r>
        <w:rPr>
          <w:rFonts w:ascii="Arial" w:hAnsi="Arial" w:hint="cs"/>
          <w:noProof w:val="0"/>
          <w:rtl/>
        </w:rPr>
        <w:t xml:space="preserve">  </w:t>
      </w:r>
      <w:r w:rsidR="00AE6302">
        <w:rPr>
          <w:rFonts w:ascii="Arial" w:hAnsi="Arial" w:hint="cs"/>
          <w:noProof w:val="0"/>
          <w:rtl/>
        </w:rPr>
        <w:t>בהחלטה מיום 14.8.23 הוריתי על הגשת תסקיר ע"י העו"ס לס"ד בשאל</w:t>
      </w:r>
      <w:r w:rsidR="009E1E43">
        <w:rPr>
          <w:rFonts w:ascii="Arial" w:hAnsi="Arial" w:hint="cs"/>
          <w:noProof w:val="0"/>
          <w:rtl/>
        </w:rPr>
        <w:t>ת זמני השהות וקבעתי כי אין מקום לדון בשאלת משמורת הקטינה ומשמושג זה איננו רלוונטי עוד.</w:t>
      </w:r>
    </w:p>
    <w:p w:rsidR="009E1E43" w:rsidRDefault="009E1E43" w:rsidP="00685658">
      <w:pPr>
        <w:pStyle w:val="ad"/>
        <w:spacing w:line="360" w:lineRule="auto"/>
        <w:ind w:left="1080"/>
        <w:jc w:val="both"/>
        <w:rPr>
          <w:rFonts w:ascii="Arial" w:hAnsi="Arial"/>
          <w:noProof w:val="0"/>
          <w:rtl/>
        </w:rPr>
      </w:pPr>
      <w:r>
        <w:rPr>
          <w:rFonts w:ascii="Arial" w:hAnsi="Arial" w:hint="cs"/>
          <w:noProof w:val="0"/>
          <w:rtl/>
        </w:rPr>
        <w:t>במסגרת "הבהרה" אותה הגישה המבקשת, נדרש ביהמ"ש להרחבת זמני השהות בין המבקשת והקטינה כך שאלו יכללו לינה בימי שני, אך לנוכח טענות שהועלו בתגובת המשיב בדבר המשך שתיית האלכוהול, הוריתי על המשך זמני השהות כפי שנקבעו בהליך הה"ט ועד להגשת התסקיר</w:t>
      </w:r>
      <w:r w:rsidR="00973267">
        <w:rPr>
          <w:rFonts w:ascii="Arial" w:hAnsi="Arial" w:hint="cs"/>
          <w:noProof w:val="0"/>
          <w:rtl/>
        </w:rPr>
        <w:t xml:space="preserve"> לתיק</w:t>
      </w:r>
      <w:r>
        <w:rPr>
          <w:rFonts w:ascii="Arial" w:hAnsi="Arial" w:hint="cs"/>
          <w:noProof w:val="0"/>
          <w:rtl/>
        </w:rPr>
        <w:t>.</w:t>
      </w:r>
    </w:p>
    <w:p w:rsidR="00C52FBC" w:rsidRDefault="000406BE" w:rsidP="00685658">
      <w:pPr>
        <w:pStyle w:val="ad"/>
        <w:spacing w:line="360" w:lineRule="auto"/>
        <w:ind w:left="1080"/>
        <w:jc w:val="both"/>
        <w:rPr>
          <w:rFonts w:ascii="Arial" w:hAnsi="Arial"/>
          <w:noProof w:val="0"/>
          <w:rtl/>
        </w:rPr>
      </w:pPr>
      <w:r>
        <w:rPr>
          <w:rFonts w:ascii="Arial" w:hAnsi="Arial" w:hint="cs"/>
          <w:noProof w:val="0"/>
          <w:rtl/>
        </w:rPr>
        <w:t xml:space="preserve">ביום 30.8.23 הוריתי על מינוי אפוטרופא לדין לקטינה בעקבות הודעת שירותי הרווחה כי התסקיר יוגש </w:t>
      </w:r>
      <w:r w:rsidR="00973267">
        <w:rPr>
          <w:rFonts w:ascii="Arial" w:hAnsi="Arial" w:hint="cs"/>
          <w:noProof w:val="0"/>
          <w:rtl/>
        </w:rPr>
        <w:t xml:space="preserve">רק </w:t>
      </w:r>
      <w:r>
        <w:rPr>
          <w:rFonts w:ascii="Arial" w:hAnsi="Arial" w:hint="cs"/>
          <w:noProof w:val="0"/>
          <w:rtl/>
        </w:rPr>
        <w:t xml:space="preserve">בחודש דצמבר 2023. </w:t>
      </w:r>
      <w:r w:rsidR="00C62ACB">
        <w:rPr>
          <w:rFonts w:ascii="Arial" w:hAnsi="Arial" w:hint="cs"/>
          <w:noProof w:val="0"/>
          <w:rtl/>
        </w:rPr>
        <w:t>דיווח מטעם האפוט' לדין הוגש ביום 6.9.23 במסגרתו הבהירה את עמדתה כי בשלב זה יש להמתין לתסקיר כולל ואין להורות על הרחבת זמני השהות</w:t>
      </w:r>
      <w:r w:rsidR="00973267">
        <w:rPr>
          <w:rFonts w:ascii="Arial" w:hAnsi="Arial" w:hint="cs"/>
          <w:noProof w:val="0"/>
          <w:rtl/>
        </w:rPr>
        <w:t>,</w:t>
      </w:r>
      <w:r w:rsidR="00C62ACB">
        <w:rPr>
          <w:rFonts w:ascii="Arial" w:hAnsi="Arial" w:hint="cs"/>
          <w:noProof w:val="0"/>
          <w:rtl/>
        </w:rPr>
        <w:t xml:space="preserve"> וככל שהמבקשת רוצה ומבקשת להלין את הקטינה אצלה יש לאפשר זאת בנוכחות אם המבקשת. האפוט' לדין העירה וציינה כי לנוכח דברי הקטינה יש לחתור לשילוב הקטינה בטיפול רגשי</w:t>
      </w:r>
      <w:r w:rsidR="00C52FBC">
        <w:rPr>
          <w:rFonts w:ascii="Arial" w:hAnsi="Arial" w:hint="cs"/>
          <w:noProof w:val="0"/>
          <w:rtl/>
        </w:rPr>
        <w:t xml:space="preserve">, ועוד ציינה כי ההליך הטיפולי בו נמצאת המבקשת אינו טיפול נקודתי אלא הליך ממושך אותו יש ללוות בהליך טיפולי משפחתי מערכתי כולל. </w:t>
      </w:r>
    </w:p>
    <w:p w:rsidR="009E1E43" w:rsidRDefault="00C52FBC" w:rsidP="00685658">
      <w:pPr>
        <w:pStyle w:val="ad"/>
        <w:spacing w:line="360" w:lineRule="auto"/>
        <w:ind w:left="1080"/>
        <w:jc w:val="both"/>
        <w:rPr>
          <w:rFonts w:ascii="Arial" w:hAnsi="Arial"/>
          <w:noProof w:val="0"/>
          <w:rtl/>
        </w:rPr>
      </w:pPr>
      <w:r>
        <w:rPr>
          <w:rFonts w:ascii="Arial" w:hAnsi="Arial" w:hint="cs"/>
          <w:noProof w:val="0"/>
          <w:rtl/>
        </w:rPr>
        <w:t xml:space="preserve">לאחר קבלת עמדות הצדדים לדיווח האפוט' לדין נקבע בהחלטתי מיום 10.9.23 כי </w:t>
      </w:r>
      <w:r w:rsidR="00AF1304">
        <w:rPr>
          <w:rFonts w:ascii="Arial" w:hAnsi="Arial" w:hint="cs"/>
          <w:noProof w:val="0"/>
          <w:rtl/>
        </w:rPr>
        <w:t>זמני השהות בימי</w:t>
      </w:r>
      <w:r>
        <w:rPr>
          <w:rFonts w:ascii="Arial" w:hAnsi="Arial" w:hint="cs"/>
          <w:noProof w:val="0"/>
          <w:rtl/>
        </w:rPr>
        <w:t xml:space="preserve"> ב' ובסופי הש</w:t>
      </w:r>
      <w:r w:rsidR="00401422">
        <w:rPr>
          <w:rFonts w:ascii="Arial" w:hAnsi="Arial" w:hint="cs"/>
          <w:noProof w:val="0"/>
          <w:rtl/>
        </w:rPr>
        <w:t>בוע אצל המבקשת יכללו לינה</w:t>
      </w:r>
      <w:r w:rsidR="00AF1304">
        <w:rPr>
          <w:rFonts w:ascii="Arial" w:hAnsi="Arial" w:hint="cs"/>
          <w:noProof w:val="0"/>
          <w:rtl/>
        </w:rPr>
        <w:t>,</w:t>
      </w:r>
      <w:r w:rsidR="00401422">
        <w:rPr>
          <w:rFonts w:ascii="Arial" w:hAnsi="Arial" w:hint="cs"/>
          <w:noProof w:val="0"/>
          <w:rtl/>
        </w:rPr>
        <w:t xml:space="preserve"> ובכפוף</w:t>
      </w:r>
      <w:r>
        <w:rPr>
          <w:rFonts w:ascii="Arial" w:hAnsi="Arial" w:hint="cs"/>
          <w:noProof w:val="0"/>
          <w:rtl/>
        </w:rPr>
        <w:t xml:space="preserve"> להימצאות אם המבקשת.</w:t>
      </w:r>
      <w:r w:rsidR="00C62ACB">
        <w:rPr>
          <w:rFonts w:ascii="Arial" w:hAnsi="Arial" w:hint="cs"/>
          <w:noProof w:val="0"/>
          <w:rtl/>
        </w:rPr>
        <w:t xml:space="preserve"> </w:t>
      </w:r>
    </w:p>
    <w:p w:rsidR="00401422" w:rsidRDefault="00401422" w:rsidP="00685658">
      <w:pPr>
        <w:pStyle w:val="ad"/>
        <w:spacing w:line="360" w:lineRule="auto"/>
        <w:ind w:left="1080"/>
        <w:jc w:val="both"/>
        <w:rPr>
          <w:rFonts w:ascii="Arial" w:hAnsi="Arial"/>
          <w:noProof w:val="0"/>
          <w:rtl/>
        </w:rPr>
      </w:pPr>
      <w:r>
        <w:rPr>
          <w:rFonts w:ascii="Arial" w:hAnsi="Arial" w:hint="cs"/>
          <w:noProof w:val="0"/>
          <w:rtl/>
        </w:rPr>
        <w:lastRenderedPageBreak/>
        <w:t xml:space="preserve">ביום 12.9.23 הוגשה </w:t>
      </w:r>
      <w:r w:rsidR="00433AC0">
        <w:rPr>
          <w:rFonts w:ascii="Arial" w:hAnsi="Arial" w:hint="cs"/>
          <w:noProof w:val="0"/>
          <w:rtl/>
        </w:rPr>
        <w:t xml:space="preserve">ובהתאם להחלטתי </w:t>
      </w:r>
      <w:r>
        <w:rPr>
          <w:rFonts w:ascii="Arial" w:hAnsi="Arial" w:hint="cs"/>
          <w:noProof w:val="0"/>
          <w:rtl/>
        </w:rPr>
        <w:t>תגובת העו"ס לחוק נוער</w:t>
      </w:r>
      <w:r w:rsidR="00433AC0">
        <w:rPr>
          <w:rFonts w:ascii="Arial" w:hAnsi="Arial" w:hint="cs"/>
          <w:noProof w:val="0"/>
          <w:rtl/>
        </w:rPr>
        <w:t>, ובמסגרתה דווח כי משיחה שערכה עו"ס לחוק נוער בחודש ספטמבר עם העו"ס להתמכרויות המטפל במבקשת עולה כי המבקשת נמצאת בתחילת ההליך הטיפולי וכי ניכר שזו בהכחשה קשה מאוד</w:t>
      </w:r>
      <w:r w:rsidR="00973267">
        <w:rPr>
          <w:rFonts w:ascii="Arial" w:hAnsi="Arial" w:hint="cs"/>
          <w:noProof w:val="0"/>
          <w:rtl/>
        </w:rPr>
        <w:t>,</w:t>
      </w:r>
      <w:r w:rsidR="00433AC0">
        <w:rPr>
          <w:rFonts w:ascii="Arial" w:hAnsi="Arial" w:hint="cs"/>
          <w:noProof w:val="0"/>
          <w:rtl/>
        </w:rPr>
        <w:t xml:space="preserve"> מניפולטיבית ואינה מתמסרת להליך הטיפולי, וכי נראה שבשל המלצת ב"כ מגיעה לטיפול על מנת שתוכל לשמור על קשר עם ביתה. העו"ס הודיעה כי לאור מורכבות המשפחה והחשש לשלום הקטינה הוחלט </w:t>
      </w:r>
      <w:r w:rsidR="00AF1304">
        <w:rPr>
          <w:rFonts w:ascii="Arial" w:hAnsi="Arial" w:hint="cs"/>
          <w:noProof w:val="0"/>
          <w:rtl/>
        </w:rPr>
        <w:t xml:space="preserve">לכנס ועדה ביום 6.12.23 בה העו"ס לחוק נוער תמליץ על הכרזת הקטינה כנזקקת תחת צו טיפול והשגחה ושילוב המשפחה ביחידה </w:t>
      </w:r>
      <w:r w:rsidR="00C2634D">
        <w:rPr>
          <w:rFonts w:ascii="Arial" w:hAnsi="Arial" w:hint="cs"/>
          <w:noProof w:val="0"/>
          <w:rtl/>
        </w:rPr>
        <w:t>הייעוצי</w:t>
      </w:r>
      <w:r w:rsidR="00C2634D">
        <w:rPr>
          <w:rFonts w:ascii="Arial" w:hAnsi="Arial" w:hint="eastAsia"/>
          <w:noProof w:val="0"/>
          <w:rtl/>
        </w:rPr>
        <w:t>ת</w:t>
      </w:r>
      <w:r w:rsidR="00AF1304">
        <w:rPr>
          <w:rFonts w:ascii="Arial" w:hAnsi="Arial" w:hint="cs"/>
          <w:noProof w:val="0"/>
          <w:rtl/>
        </w:rPr>
        <w:t xml:space="preserve"> במרכז חירום אקסטרני.</w:t>
      </w:r>
    </w:p>
    <w:p w:rsidR="00C2634D" w:rsidRDefault="00C2634D" w:rsidP="00685658">
      <w:pPr>
        <w:pStyle w:val="ad"/>
        <w:spacing w:line="360" w:lineRule="auto"/>
        <w:ind w:left="1080"/>
        <w:jc w:val="both"/>
        <w:rPr>
          <w:rFonts w:ascii="Arial" w:hAnsi="Arial"/>
          <w:noProof w:val="0"/>
          <w:rtl/>
        </w:rPr>
      </w:pPr>
      <w:r>
        <w:rPr>
          <w:rFonts w:ascii="Arial" w:hAnsi="Arial" w:hint="cs"/>
          <w:noProof w:val="0"/>
          <w:rtl/>
        </w:rPr>
        <w:t>בין לבין נתנה החלטה למתן טיפול נפשי לקטינה, והמשיב גויס בצו 8 נוכח מתקפת הטרור ומלחמת חרבות ברזל</w:t>
      </w:r>
      <w:r w:rsidR="00A924C9">
        <w:rPr>
          <w:rFonts w:ascii="Arial" w:hAnsi="Arial" w:hint="cs"/>
          <w:noProof w:val="0"/>
          <w:rtl/>
        </w:rPr>
        <w:t xml:space="preserve"> ושוחרר משירות המילואים בסוף חודש ינואר 2024. מצב דברים זה הביא לשהיית הקטינה אצל האם ובסופו של דבר להסכמה (אם כי חלקית), בדבר חלוקת זמני השהות אשר בסופו של יום הוכרעה בהחלטה מיום 31.1.24 במסגרתה נקבע כי זמני השהות עם הקטינה יחולקו באופן שווה בין שני ההורים.</w:t>
      </w:r>
    </w:p>
    <w:p w:rsidR="00A924C9" w:rsidRDefault="00A924C9" w:rsidP="00685658">
      <w:pPr>
        <w:pStyle w:val="ad"/>
        <w:spacing w:line="360" w:lineRule="auto"/>
        <w:ind w:left="1080"/>
        <w:jc w:val="both"/>
        <w:rPr>
          <w:rFonts w:ascii="Arial" w:hAnsi="Arial"/>
          <w:noProof w:val="0"/>
          <w:rtl/>
        </w:rPr>
      </w:pPr>
      <w:r>
        <w:rPr>
          <w:rFonts w:ascii="Arial" w:hAnsi="Arial" w:hint="cs"/>
          <w:noProof w:val="0"/>
          <w:rtl/>
        </w:rPr>
        <w:t>ביום 12.3.24 התקיים דיון במעמד הצדדים והאפוט' לדין. בדיון נשמעו טענות הצדדים כולם</w:t>
      </w:r>
      <w:r w:rsidR="00362D3D">
        <w:rPr>
          <w:rFonts w:ascii="Arial" w:hAnsi="Arial" w:hint="cs"/>
          <w:noProof w:val="0"/>
          <w:rtl/>
        </w:rPr>
        <w:t>, ואף נערך שיח מחוץ לפרוטוקול ובהסכמת ב"כ הצדדים על מנת להביא הצדדים ולו להסכמות חלקיות ולטובת הקטינה והצדדים.</w:t>
      </w:r>
    </w:p>
    <w:p w:rsidR="00362D3D" w:rsidRDefault="00362D3D" w:rsidP="00362D3D">
      <w:pPr>
        <w:pStyle w:val="ad"/>
        <w:spacing w:line="360" w:lineRule="auto"/>
        <w:ind w:left="1080"/>
        <w:jc w:val="both"/>
        <w:rPr>
          <w:rFonts w:ascii="Arial" w:hAnsi="Arial"/>
          <w:noProof w:val="0"/>
          <w:rtl/>
        </w:rPr>
      </w:pPr>
      <w:r>
        <w:rPr>
          <w:rFonts w:ascii="Arial" w:hAnsi="Arial" w:hint="cs"/>
          <w:noProof w:val="0"/>
          <w:rtl/>
        </w:rPr>
        <w:t>ביום 14.3.24 הוגשה בקשה ע"י המבקשת לקביעת זמני השהות בחג הפסח, אך לנוכח ביטויים אותם כפוגעניים הורתי על תיקון הבקשה והסרת כל הערה ותוכן פוגעני. לאחר תיקון כאמור, הגשת תגובה ותגובה לתגו</w:t>
      </w:r>
      <w:r w:rsidR="005E5308">
        <w:rPr>
          <w:rFonts w:ascii="Arial" w:hAnsi="Arial" w:hint="cs"/>
          <w:noProof w:val="0"/>
          <w:rtl/>
        </w:rPr>
        <w:t>בה קבעתי כי בשנה זו תחגוג הקטינה את חג הפסח הראשון אצל האב יחד עם מחצית חול המועד ואת החג השני ומחצית השנייה של חול המועד אצל האם, כשבשנה הבאה הסדר יהיה הפוך.</w:t>
      </w:r>
    </w:p>
    <w:p w:rsidR="005E5308" w:rsidRDefault="005E5308" w:rsidP="00362D3D">
      <w:pPr>
        <w:pStyle w:val="ad"/>
        <w:spacing w:line="360" w:lineRule="auto"/>
        <w:ind w:left="1080"/>
        <w:jc w:val="both"/>
        <w:rPr>
          <w:rFonts w:ascii="Arial" w:hAnsi="Arial"/>
          <w:noProof w:val="0"/>
          <w:rtl/>
        </w:rPr>
      </w:pPr>
      <w:r>
        <w:rPr>
          <w:rFonts w:ascii="Arial" w:hAnsi="Arial" w:hint="cs"/>
          <w:noProof w:val="0"/>
          <w:rtl/>
        </w:rPr>
        <w:t xml:space="preserve">מחלוקת סביב הטיפול הרגשי אותו הורה ביהמ"ש שיש להעניק לקטינה ובהמלצת העו"ס והאפוט' לדין, הפך למחלוקת של ממש כאשר </w:t>
      </w:r>
      <w:r w:rsidR="00EF6DB7">
        <w:rPr>
          <w:rFonts w:ascii="Arial" w:hAnsi="Arial" w:hint="cs"/>
          <w:noProof w:val="0"/>
          <w:rtl/>
        </w:rPr>
        <w:t>בעניין זה מוגשות בקשות למתן הוראות ודרישות במסגרת תגובות והודעות</w:t>
      </w:r>
      <w:r>
        <w:rPr>
          <w:rFonts w:ascii="Arial" w:hAnsi="Arial" w:hint="cs"/>
          <w:noProof w:val="0"/>
          <w:rtl/>
        </w:rPr>
        <w:t xml:space="preserve"> להפסקת הטיפול. </w:t>
      </w:r>
    </w:p>
    <w:p w:rsidR="001B48DF" w:rsidRDefault="005E5308" w:rsidP="00B71620">
      <w:pPr>
        <w:pStyle w:val="ad"/>
        <w:spacing w:line="360" w:lineRule="auto"/>
        <w:ind w:left="1080"/>
        <w:jc w:val="both"/>
        <w:rPr>
          <w:rFonts w:ascii="Arial" w:hAnsi="Arial"/>
          <w:noProof w:val="0"/>
          <w:rtl/>
        </w:rPr>
      </w:pPr>
      <w:r>
        <w:rPr>
          <w:rFonts w:ascii="Arial" w:hAnsi="Arial" w:hint="cs"/>
          <w:noProof w:val="0"/>
          <w:rtl/>
        </w:rPr>
        <w:t xml:space="preserve">בנסיבות </w:t>
      </w:r>
      <w:r w:rsidR="00EF6DB7">
        <w:rPr>
          <w:rFonts w:ascii="Arial" w:hAnsi="Arial" w:hint="cs"/>
          <w:noProof w:val="0"/>
          <w:rtl/>
        </w:rPr>
        <w:t>בהן תגובה מטעם המבקשת הוגשה ללא תצהיר ובניגוד ל</w:t>
      </w:r>
      <w:r>
        <w:rPr>
          <w:rFonts w:ascii="Arial" w:hAnsi="Arial" w:hint="cs"/>
          <w:noProof w:val="0"/>
          <w:rtl/>
        </w:rPr>
        <w:t xml:space="preserve">תקנות, </w:t>
      </w:r>
      <w:r w:rsidR="00B71620">
        <w:rPr>
          <w:rFonts w:ascii="Arial" w:hAnsi="Arial" w:hint="cs"/>
          <w:noProof w:val="0"/>
          <w:rtl/>
        </w:rPr>
        <w:t>ש</w:t>
      </w:r>
      <w:r w:rsidR="001B48DF">
        <w:rPr>
          <w:rFonts w:ascii="Arial" w:hAnsi="Arial" w:hint="cs"/>
          <w:noProof w:val="0"/>
          <w:rtl/>
        </w:rPr>
        <w:t xml:space="preserve">הוגשה </w:t>
      </w:r>
      <w:r>
        <w:rPr>
          <w:rFonts w:ascii="Arial" w:hAnsi="Arial" w:hint="cs"/>
          <w:noProof w:val="0"/>
          <w:rtl/>
        </w:rPr>
        <w:t xml:space="preserve">בהתאם להחלטתי מיום </w:t>
      </w:r>
      <w:r w:rsidR="001B48DF">
        <w:rPr>
          <w:rFonts w:ascii="Arial" w:hAnsi="Arial" w:hint="cs"/>
          <w:noProof w:val="0"/>
          <w:rtl/>
        </w:rPr>
        <w:t xml:space="preserve">10.4.24 במסגרתה הוריתי על קבלת עמדת המשיבה, התקבלה עמדת ב"כ המשיבה </w:t>
      </w:r>
      <w:r w:rsidR="00B71620">
        <w:rPr>
          <w:rFonts w:ascii="Arial" w:hAnsi="Arial" w:hint="cs"/>
          <w:noProof w:val="0"/>
          <w:rtl/>
        </w:rPr>
        <w:t xml:space="preserve">ולא המשיבה וללא תצהיר כאמור, </w:t>
      </w:r>
      <w:r w:rsidR="001B48DF">
        <w:rPr>
          <w:rFonts w:ascii="Arial" w:hAnsi="Arial" w:hint="cs"/>
          <w:noProof w:val="0"/>
          <w:rtl/>
        </w:rPr>
        <w:t>ובנסיבות אלו הוריתי על מחיקת התגובה והגשתה בהתאם להוראות התקנות.</w:t>
      </w:r>
    </w:p>
    <w:p w:rsidR="00986C00" w:rsidRDefault="00B71620" w:rsidP="001B48DF">
      <w:pPr>
        <w:pStyle w:val="ad"/>
        <w:spacing w:line="360" w:lineRule="auto"/>
        <w:ind w:left="1080"/>
        <w:jc w:val="both"/>
        <w:rPr>
          <w:rFonts w:ascii="Arial" w:hAnsi="Arial"/>
          <w:noProof w:val="0"/>
          <w:rtl/>
        </w:rPr>
      </w:pPr>
      <w:r>
        <w:rPr>
          <w:rFonts w:ascii="Arial" w:hAnsi="Arial" w:hint="cs"/>
          <w:noProof w:val="0"/>
          <w:rtl/>
        </w:rPr>
        <w:t>אלא שהגשת עמדת המבקשת</w:t>
      </w:r>
      <w:r w:rsidR="001B48DF">
        <w:rPr>
          <w:rFonts w:ascii="Arial" w:hAnsi="Arial" w:hint="cs"/>
          <w:noProof w:val="0"/>
          <w:rtl/>
        </w:rPr>
        <w:t xml:space="preserve"> מיום 11.4.24 </w:t>
      </w:r>
      <w:r w:rsidR="00986C00">
        <w:rPr>
          <w:rFonts w:ascii="Arial" w:hAnsi="Arial" w:hint="cs"/>
          <w:noProof w:val="0"/>
          <w:rtl/>
        </w:rPr>
        <w:t xml:space="preserve">נוסחה באופן מזלזל </w:t>
      </w:r>
      <w:r>
        <w:rPr>
          <w:rFonts w:ascii="Arial" w:hAnsi="Arial" w:hint="cs"/>
          <w:noProof w:val="0"/>
          <w:rtl/>
        </w:rPr>
        <w:t xml:space="preserve">ופוגעני </w:t>
      </w:r>
      <w:r w:rsidR="00986C00">
        <w:rPr>
          <w:rFonts w:ascii="Arial" w:hAnsi="Arial" w:hint="cs"/>
          <w:noProof w:val="0"/>
          <w:rtl/>
        </w:rPr>
        <w:t xml:space="preserve">והדבר ניכר מהאמור בה, </w:t>
      </w:r>
      <w:r w:rsidR="001B48DF">
        <w:rPr>
          <w:rFonts w:ascii="Arial" w:hAnsi="Arial" w:hint="cs"/>
          <w:noProof w:val="0"/>
          <w:rtl/>
        </w:rPr>
        <w:t>ה</w:t>
      </w:r>
      <w:r w:rsidR="00986C00">
        <w:rPr>
          <w:rFonts w:ascii="Arial" w:hAnsi="Arial" w:hint="cs"/>
          <w:noProof w:val="0"/>
          <w:rtl/>
        </w:rPr>
        <w:t>עלתה שוב טענות ממוחזרות שנדונו והוכרעו,</w:t>
      </w:r>
      <w:r w:rsidR="001B48DF">
        <w:rPr>
          <w:rFonts w:ascii="Arial" w:hAnsi="Arial" w:hint="cs"/>
          <w:noProof w:val="0"/>
          <w:rtl/>
        </w:rPr>
        <w:t xml:space="preserve"> </w:t>
      </w:r>
      <w:r>
        <w:rPr>
          <w:rFonts w:ascii="Arial" w:hAnsi="Arial" w:hint="cs"/>
          <w:noProof w:val="0"/>
          <w:rtl/>
        </w:rPr>
        <w:t xml:space="preserve">וכן </w:t>
      </w:r>
      <w:r w:rsidR="001B48DF">
        <w:rPr>
          <w:rFonts w:ascii="Arial" w:hAnsi="Arial" w:hint="cs"/>
          <w:noProof w:val="0"/>
          <w:rtl/>
        </w:rPr>
        <w:t xml:space="preserve">העלתה טענות </w:t>
      </w:r>
      <w:r w:rsidR="00986C00">
        <w:rPr>
          <w:rFonts w:ascii="Arial" w:hAnsi="Arial" w:hint="cs"/>
          <w:noProof w:val="0"/>
          <w:rtl/>
        </w:rPr>
        <w:t xml:space="preserve">ובקשות שונות במסגרת עמדתה. </w:t>
      </w:r>
    </w:p>
    <w:p w:rsidR="00AF1304" w:rsidRDefault="00986C00" w:rsidP="00545B76">
      <w:pPr>
        <w:pStyle w:val="ad"/>
        <w:spacing w:line="360" w:lineRule="auto"/>
        <w:ind w:left="1080"/>
        <w:jc w:val="both"/>
        <w:rPr>
          <w:rFonts w:ascii="Arial" w:hAnsi="Arial"/>
          <w:noProof w:val="0"/>
          <w:rtl/>
        </w:rPr>
      </w:pPr>
      <w:r>
        <w:rPr>
          <w:rFonts w:ascii="Arial" w:hAnsi="Arial" w:hint="cs"/>
          <w:noProof w:val="0"/>
          <w:rtl/>
        </w:rPr>
        <w:t xml:space="preserve">בהחלטה מיום 11.4.24 נדרשתי לעצם הגשת בקשות, הבהרות והודעות ע"י המבקשת באמצעות ב"כ שלא עפ"י סדרי הדין. נדרשתי שוב לעניין הטיפול הרגשי בקטינה </w:t>
      </w:r>
      <w:r w:rsidR="00B71620">
        <w:rPr>
          <w:rFonts w:ascii="Arial" w:hAnsi="Arial" w:hint="cs"/>
          <w:noProof w:val="0"/>
          <w:rtl/>
        </w:rPr>
        <w:t xml:space="preserve">תוך </w:t>
      </w:r>
      <w:r w:rsidR="00B71620">
        <w:rPr>
          <w:rFonts w:ascii="Arial" w:hAnsi="Arial" w:hint="cs"/>
          <w:noProof w:val="0"/>
          <w:rtl/>
        </w:rPr>
        <w:lastRenderedPageBreak/>
        <w:t xml:space="preserve">הבהרה </w:t>
      </w:r>
      <w:r>
        <w:rPr>
          <w:rFonts w:ascii="Arial" w:hAnsi="Arial" w:hint="cs"/>
          <w:noProof w:val="0"/>
          <w:rtl/>
        </w:rPr>
        <w:t xml:space="preserve">כי </w:t>
      </w:r>
      <w:r w:rsidR="00B71620">
        <w:rPr>
          <w:rFonts w:ascii="Arial" w:hAnsi="Arial" w:hint="cs"/>
          <w:noProof w:val="0"/>
          <w:rtl/>
        </w:rPr>
        <w:t>עניין</w:t>
      </w:r>
      <w:r>
        <w:rPr>
          <w:rFonts w:ascii="Arial" w:hAnsi="Arial" w:hint="cs"/>
          <w:noProof w:val="0"/>
          <w:rtl/>
        </w:rPr>
        <w:t xml:space="preserve"> הוכרע ואף נדון בדיון שהתקיים לפני ימים ספורים, וכן נדרשתי לטענות המבקשת בדבר התמכרותה לאלכוהול תוך ציון כי יש בדבר כדי לפגוע בהל</w:t>
      </w:r>
      <w:r w:rsidR="00551965">
        <w:rPr>
          <w:rFonts w:ascii="Arial" w:hAnsi="Arial" w:hint="cs"/>
          <w:noProof w:val="0"/>
          <w:rtl/>
        </w:rPr>
        <w:t>יך הטיפולי כולו ואף התרעתי בצדדים לבל יחבלו בו.</w:t>
      </w:r>
      <w:r>
        <w:rPr>
          <w:rFonts w:ascii="Arial" w:hAnsi="Arial" w:hint="cs"/>
          <w:noProof w:val="0"/>
          <w:rtl/>
        </w:rPr>
        <w:t xml:space="preserve"> </w:t>
      </w:r>
    </w:p>
    <w:p w:rsidR="00545B76" w:rsidRPr="00545B76" w:rsidRDefault="00545B76" w:rsidP="00545B76">
      <w:pPr>
        <w:pStyle w:val="ad"/>
        <w:spacing w:line="360" w:lineRule="auto"/>
        <w:ind w:left="1080"/>
        <w:jc w:val="both"/>
        <w:rPr>
          <w:rFonts w:ascii="Arial" w:hAnsi="Arial"/>
          <w:noProof w:val="0"/>
        </w:rPr>
      </w:pPr>
      <w:r>
        <w:rPr>
          <w:rFonts w:ascii="Arial" w:hAnsi="Arial" w:hint="cs"/>
          <w:noProof w:val="0"/>
          <w:rtl/>
        </w:rPr>
        <w:t>עוד יצוין, כי במסגרת תגובות והודעות מטעם המבקשת הועלתה טענה לניכור הורי מצד המשיב, וחרף זאת לא הוגשה כל בקשה מתאימה מט</w:t>
      </w:r>
      <w:r w:rsidR="00B71620">
        <w:rPr>
          <w:rFonts w:ascii="Arial" w:hAnsi="Arial" w:hint="cs"/>
          <w:noProof w:val="0"/>
          <w:rtl/>
        </w:rPr>
        <w:t xml:space="preserve">עמה למינוי מומחה לבדיקת טענותיה, כל זאת כאשר בתסקירים ובדיווח האפוטרופא לדין </w:t>
      </w:r>
      <w:r w:rsidR="00F9741B">
        <w:rPr>
          <w:rFonts w:ascii="Arial" w:hAnsi="Arial" w:hint="cs"/>
          <w:noProof w:val="0"/>
          <w:rtl/>
        </w:rPr>
        <w:t>אין כל אינדיקציה לאמור.</w:t>
      </w:r>
    </w:p>
    <w:p w:rsidR="00567F85" w:rsidRDefault="00567F85" w:rsidP="0078394D">
      <w:pPr>
        <w:pStyle w:val="ad"/>
        <w:numPr>
          <w:ilvl w:val="0"/>
          <w:numId w:val="3"/>
        </w:numPr>
        <w:spacing w:line="360" w:lineRule="auto"/>
        <w:jc w:val="both"/>
        <w:rPr>
          <w:rFonts w:ascii="Arial" w:hAnsi="Arial"/>
          <w:b/>
          <w:bCs/>
          <w:noProof w:val="0"/>
          <w:u w:val="single"/>
        </w:rPr>
      </w:pPr>
      <w:r w:rsidRPr="00567F85">
        <w:rPr>
          <w:rFonts w:ascii="Arial" w:hAnsi="Arial" w:hint="cs"/>
          <w:b/>
          <w:bCs/>
          <w:noProof w:val="0"/>
          <w:u w:val="single"/>
          <w:rtl/>
        </w:rPr>
        <w:t xml:space="preserve">תלה"מ </w:t>
      </w:r>
      <w:r w:rsidR="0078394D" w:rsidRPr="0078394D">
        <w:rPr>
          <w:rFonts w:ascii="David" w:hAnsi="David"/>
          <w:b/>
          <w:bCs/>
          <w:noProof w:val="0"/>
          <w:u w:val="single"/>
        </w:rPr>
        <w:t>23</w:t>
      </w:r>
      <w:r w:rsidRPr="0078394D">
        <w:rPr>
          <w:rFonts w:ascii="David" w:hAnsi="David"/>
          <w:b/>
          <w:bCs/>
          <w:noProof w:val="0"/>
          <w:u w:val="single"/>
          <w:rtl/>
        </w:rPr>
        <w:t>-</w:t>
      </w:r>
      <w:r w:rsidR="0078394D" w:rsidRPr="0078394D">
        <w:rPr>
          <w:rFonts w:ascii="David" w:hAnsi="David"/>
          <w:b/>
          <w:bCs/>
          <w:noProof w:val="0"/>
          <w:u w:val="single"/>
        </w:rPr>
        <w:t>09</w:t>
      </w:r>
      <w:r w:rsidRPr="0078394D">
        <w:rPr>
          <w:rFonts w:ascii="David" w:hAnsi="David"/>
          <w:b/>
          <w:bCs/>
          <w:noProof w:val="0"/>
          <w:u w:val="single"/>
          <w:rtl/>
        </w:rPr>
        <w:t>-</w:t>
      </w:r>
      <w:r w:rsidR="0078394D" w:rsidRPr="0078394D">
        <w:rPr>
          <w:rFonts w:ascii="David" w:hAnsi="David"/>
          <w:b/>
          <w:bCs/>
          <w:noProof w:val="0"/>
          <w:u w:val="single"/>
        </w:rPr>
        <w:t>30386</w:t>
      </w:r>
      <w:r w:rsidRPr="0078394D">
        <w:rPr>
          <w:rFonts w:ascii="David" w:hAnsi="David"/>
          <w:b/>
          <w:bCs/>
          <w:noProof w:val="0"/>
          <w:u w:val="single"/>
          <w:rtl/>
        </w:rPr>
        <w:t xml:space="preserve"> – תביעה רכושית.</w:t>
      </w:r>
    </w:p>
    <w:p w:rsidR="00567F85" w:rsidRDefault="00567F85" w:rsidP="00567F85">
      <w:pPr>
        <w:pStyle w:val="ad"/>
        <w:spacing w:line="360" w:lineRule="auto"/>
        <w:ind w:left="1080"/>
        <w:jc w:val="both"/>
        <w:rPr>
          <w:rFonts w:ascii="Arial" w:hAnsi="Arial"/>
          <w:noProof w:val="0"/>
          <w:rtl/>
        </w:rPr>
      </w:pPr>
      <w:r>
        <w:rPr>
          <w:rFonts w:ascii="Arial" w:hAnsi="Arial" w:hint="cs"/>
          <w:noProof w:val="0"/>
          <w:rtl/>
        </w:rPr>
        <w:t>ביום 13.09.23 הגישה המבקשת תובענה רכושית, במסגרתה ביקשה איזון משאבים, צווים לגי</w:t>
      </w:r>
      <w:r w:rsidR="00685658">
        <w:rPr>
          <w:rFonts w:ascii="Arial" w:hAnsi="Arial" w:hint="cs"/>
          <w:noProof w:val="0"/>
          <w:rtl/>
        </w:rPr>
        <w:t xml:space="preserve">לוי מידע, מינוי אקטואר ורו"ח חוקר. דיון נקבע </w:t>
      </w:r>
      <w:r w:rsidR="00551965">
        <w:rPr>
          <w:rFonts w:ascii="Arial" w:hAnsi="Arial" w:hint="cs"/>
          <w:noProof w:val="0"/>
          <w:rtl/>
        </w:rPr>
        <w:t>לחודש דצמבר אשר נדחה והתקיים ביום 12.3.24.</w:t>
      </w:r>
    </w:p>
    <w:p w:rsidR="00B473C2" w:rsidRDefault="00551965" w:rsidP="00B473C2">
      <w:pPr>
        <w:pStyle w:val="ad"/>
        <w:spacing w:line="360" w:lineRule="auto"/>
        <w:ind w:left="1080"/>
        <w:jc w:val="both"/>
        <w:rPr>
          <w:rFonts w:ascii="Arial" w:hAnsi="Arial"/>
          <w:noProof w:val="0"/>
          <w:rtl/>
        </w:rPr>
      </w:pPr>
      <w:r>
        <w:rPr>
          <w:rFonts w:ascii="Arial" w:hAnsi="Arial" w:hint="cs"/>
          <w:noProof w:val="0"/>
          <w:rtl/>
        </w:rPr>
        <w:t>נוכח קיומו של הדיון בתיק זה לאחר קיומו של הדיון בתיק הקשור בעניינה של הקטינה, התנהלות הצדדים לא</w:t>
      </w:r>
      <w:r w:rsidR="00B473C2">
        <w:rPr>
          <w:rFonts w:ascii="Arial" w:hAnsi="Arial" w:hint="cs"/>
          <w:noProof w:val="0"/>
          <w:rtl/>
        </w:rPr>
        <w:t xml:space="preserve"> אפשרה קיומו של הדיון, כאשר הדבר קיבל ביטוי לכך בפרוטוקול הדיון. הדיון הופסק והצדדים הונחו להגיש בקשות כראות ענייהם.</w:t>
      </w:r>
    </w:p>
    <w:p w:rsidR="00B473C2" w:rsidRPr="00545B76" w:rsidRDefault="00B473C2" w:rsidP="00545B76">
      <w:pPr>
        <w:pStyle w:val="ad"/>
        <w:spacing w:line="360" w:lineRule="auto"/>
        <w:ind w:left="1080"/>
        <w:jc w:val="both"/>
        <w:rPr>
          <w:rFonts w:ascii="Arial" w:hAnsi="Arial"/>
          <w:noProof w:val="0"/>
          <w:rtl/>
        </w:rPr>
      </w:pPr>
      <w:r>
        <w:rPr>
          <w:rFonts w:ascii="Arial" w:hAnsi="Arial" w:hint="cs"/>
          <w:noProof w:val="0"/>
          <w:rtl/>
        </w:rPr>
        <w:t xml:space="preserve">בין הצדדים </w:t>
      </w:r>
      <w:r w:rsidR="00545B76">
        <w:rPr>
          <w:rFonts w:ascii="Arial" w:hAnsi="Arial" w:hint="cs"/>
          <w:noProof w:val="0"/>
          <w:rtl/>
        </w:rPr>
        <w:t>מ</w:t>
      </w:r>
      <w:r>
        <w:rPr>
          <w:rFonts w:ascii="Arial" w:hAnsi="Arial" w:hint="cs"/>
          <w:noProof w:val="0"/>
          <w:rtl/>
        </w:rPr>
        <w:t>חלוקת לעניין מועד הקרע, ומשכך נקבע דיון במעמד הצדדים ליום 9.7.24 בסוגיה זו.</w:t>
      </w:r>
      <w:r w:rsidR="00551965">
        <w:rPr>
          <w:rFonts w:ascii="Arial" w:hAnsi="Arial" w:hint="cs"/>
          <w:noProof w:val="0"/>
          <w:rtl/>
        </w:rPr>
        <w:t xml:space="preserve"> </w:t>
      </w:r>
    </w:p>
    <w:p w:rsidR="00F1664E" w:rsidRDefault="00F1664E" w:rsidP="0078394D">
      <w:pPr>
        <w:pStyle w:val="ad"/>
        <w:numPr>
          <w:ilvl w:val="0"/>
          <w:numId w:val="3"/>
        </w:numPr>
        <w:spacing w:line="360" w:lineRule="auto"/>
        <w:jc w:val="both"/>
        <w:rPr>
          <w:rFonts w:ascii="Arial" w:hAnsi="Arial"/>
          <w:b/>
          <w:bCs/>
          <w:noProof w:val="0"/>
          <w:u w:val="single"/>
        </w:rPr>
      </w:pPr>
      <w:r>
        <w:rPr>
          <w:rFonts w:ascii="Arial" w:hAnsi="Arial" w:hint="cs"/>
          <w:b/>
          <w:bCs/>
          <w:noProof w:val="0"/>
          <w:u w:val="single"/>
          <w:rtl/>
        </w:rPr>
        <w:t xml:space="preserve">תה"ן </w:t>
      </w:r>
      <w:r w:rsidR="0078394D">
        <w:rPr>
          <w:rFonts w:ascii="David" w:hAnsi="David"/>
          <w:b/>
          <w:bCs/>
          <w:noProof w:val="0"/>
          <w:u w:val="single"/>
        </w:rPr>
        <w:t>4677-02-24</w:t>
      </w:r>
      <w:r>
        <w:rPr>
          <w:rFonts w:ascii="Arial" w:hAnsi="Arial" w:hint="cs"/>
          <w:b/>
          <w:bCs/>
          <w:noProof w:val="0"/>
          <w:u w:val="single"/>
          <w:rtl/>
        </w:rPr>
        <w:t xml:space="preserve"> תובענה להתרת נישואין. </w:t>
      </w:r>
    </w:p>
    <w:p w:rsidR="00F1664E" w:rsidRPr="00545B76" w:rsidRDefault="00F1664E" w:rsidP="00545B76">
      <w:pPr>
        <w:pStyle w:val="ad"/>
        <w:spacing w:line="360" w:lineRule="auto"/>
        <w:ind w:left="1080"/>
        <w:jc w:val="both"/>
        <w:rPr>
          <w:rFonts w:ascii="Arial" w:hAnsi="Arial"/>
          <w:noProof w:val="0"/>
        </w:rPr>
      </w:pPr>
      <w:r>
        <w:rPr>
          <w:rFonts w:ascii="Arial" w:hAnsi="Arial" w:hint="cs"/>
          <w:noProof w:val="0"/>
          <w:rtl/>
        </w:rPr>
        <w:t xml:space="preserve">ביום 1.2.2024 הגיש המשיב תובענה להתרת נישואיהם של הצדדים. חרף מתן אורכה עד למועד מתן החלטה זו טרם הוגש כתב הגנה מטעם המבקשת. </w:t>
      </w:r>
    </w:p>
    <w:p w:rsidR="005D79FB" w:rsidRDefault="005F2CA3" w:rsidP="0078394D">
      <w:pPr>
        <w:pStyle w:val="ad"/>
        <w:numPr>
          <w:ilvl w:val="0"/>
          <w:numId w:val="3"/>
        </w:numPr>
        <w:spacing w:line="360" w:lineRule="auto"/>
        <w:jc w:val="both"/>
        <w:rPr>
          <w:rFonts w:ascii="Arial" w:hAnsi="Arial"/>
          <w:b/>
          <w:bCs/>
          <w:noProof w:val="0"/>
          <w:u w:val="single"/>
        </w:rPr>
      </w:pPr>
      <w:r w:rsidRPr="00350292">
        <w:rPr>
          <w:rFonts w:ascii="Arial" w:hAnsi="Arial" w:hint="cs"/>
          <w:b/>
          <w:bCs/>
          <w:noProof w:val="0"/>
          <w:u w:val="single"/>
          <w:rtl/>
        </w:rPr>
        <w:t xml:space="preserve">תלה"מ </w:t>
      </w:r>
      <w:r w:rsidR="0078394D">
        <w:rPr>
          <w:rFonts w:ascii="David" w:hAnsi="David"/>
          <w:b/>
          <w:bCs/>
          <w:noProof w:val="0"/>
          <w:u w:val="single"/>
        </w:rPr>
        <w:t>49064-02-24</w:t>
      </w:r>
      <w:r w:rsidR="00350292" w:rsidRPr="00350292">
        <w:rPr>
          <w:rFonts w:ascii="Arial" w:hAnsi="Arial" w:hint="cs"/>
          <w:b/>
          <w:bCs/>
          <w:noProof w:val="0"/>
          <w:u w:val="single"/>
          <w:rtl/>
        </w:rPr>
        <w:t xml:space="preserve"> תביעה למזונות קטינה. </w:t>
      </w:r>
    </w:p>
    <w:p w:rsidR="00350292" w:rsidRDefault="00350292" w:rsidP="00350292">
      <w:pPr>
        <w:pStyle w:val="ad"/>
        <w:spacing w:line="360" w:lineRule="auto"/>
        <w:ind w:left="1080"/>
        <w:jc w:val="both"/>
        <w:rPr>
          <w:rFonts w:ascii="Arial" w:hAnsi="Arial"/>
          <w:noProof w:val="0"/>
          <w:rtl/>
        </w:rPr>
      </w:pPr>
      <w:r>
        <w:rPr>
          <w:rFonts w:ascii="Arial" w:hAnsi="Arial" w:hint="cs"/>
          <w:noProof w:val="0"/>
          <w:rtl/>
        </w:rPr>
        <w:t xml:space="preserve">ביום 21.2.2024 הגישה המבקשת תובענה למזונות הקטינה המשותפת של הצדדים, כשבוע לאחר מכן בקשה לפסיקת מזונותיה הזמניים של הקטינה. </w:t>
      </w:r>
    </w:p>
    <w:p w:rsidR="00350292" w:rsidRPr="00545B76" w:rsidRDefault="00350292" w:rsidP="00545B76">
      <w:pPr>
        <w:pStyle w:val="ad"/>
        <w:spacing w:line="360" w:lineRule="auto"/>
        <w:ind w:left="1080"/>
        <w:jc w:val="both"/>
        <w:rPr>
          <w:rFonts w:ascii="Arial" w:hAnsi="Arial"/>
          <w:noProof w:val="0"/>
          <w:rtl/>
        </w:rPr>
      </w:pPr>
      <w:r>
        <w:rPr>
          <w:rFonts w:ascii="Arial" w:hAnsi="Arial" w:hint="cs"/>
          <w:noProof w:val="0"/>
          <w:rtl/>
        </w:rPr>
        <w:t xml:space="preserve">לאחר מתן אורכות, לא היה טעם בקיומו של הדיון שנקבע ליום 12.3.2024, ולאחר הגשת תגובה והבהרות שנדרשו בהחלטותיי, ניתנה </w:t>
      </w:r>
      <w:r w:rsidR="00F1664E">
        <w:rPr>
          <w:rFonts w:ascii="Arial" w:hAnsi="Arial" w:hint="cs"/>
          <w:noProof w:val="0"/>
          <w:rtl/>
        </w:rPr>
        <w:t xml:space="preserve">ביום 1.4.2024 </w:t>
      </w:r>
      <w:r>
        <w:rPr>
          <w:rFonts w:ascii="Arial" w:hAnsi="Arial" w:hint="cs"/>
          <w:noProof w:val="0"/>
          <w:rtl/>
        </w:rPr>
        <w:t>החלטה הקובעת את מזונותיה הזמניים של הקטינה</w:t>
      </w:r>
      <w:r w:rsidR="00F1664E">
        <w:rPr>
          <w:rFonts w:ascii="Arial" w:hAnsi="Arial" w:hint="cs"/>
          <w:noProof w:val="0"/>
          <w:rtl/>
        </w:rPr>
        <w:t xml:space="preserve">. </w:t>
      </w:r>
    </w:p>
    <w:p w:rsidR="005D79FB" w:rsidRPr="005D79FB" w:rsidRDefault="005D79FB" w:rsidP="005D79FB">
      <w:pPr>
        <w:spacing w:line="360" w:lineRule="auto"/>
        <w:jc w:val="both"/>
        <w:rPr>
          <w:rFonts w:ascii="Arial" w:hAnsi="Arial"/>
          <w:b/>
          <w:bCs/>
          <w:noProof w:val="0"/>
          <w:u w:val="single"/>
          <w:rtl/>
        </w:rPr>
      </w:pPr>
      <w:r w:rsidRPr="005D79FB">
        <w:rPr>
          <w:rFonts w:ascii="Arial" w:hAnsi="Arial" w:hint="cs"/>
          <w:b/>
          <w:bCs/>
          <w:noProof w:val="0"/>
          <w:u w:val="single"/>
          <w:rtl/>
        </w:rPr>
        <w:t>טענות המבקשת:</w:t>
      </w:r>
    </w:p>
    <w:p w:rsidR="005D79FB" w:rsidRDefault="00F1664E" w:rsidP="00F1664E">
      <w:pPr>
        <w:pStyle w:val="ad"/>
        <w:numPr>
          <w:ilvl w:val="0"/>
          <w:numId w:val="1"/>
        </w:numPr>
        <w:spacing w:line="360" w:lineRule="auto"/>
        <w:jc w:val="both"/>
        <w:rPr>
          <w:rFonts w:ascii="Arial" w:hAnsi="Arial"/>
          <w:noProof w:val="0"/>
        </w:rPr>
      </w:pPr>
      <w:r>
        <w:rPr>
          <w:rFonts w:ascii="Arial" w:hAnsi="Arial" w:hint="cs"/>
          <w:noProof w:val="0"/>
          <w:rtl/>
        </w:rPr>
        <w:t xml:space="preserve">לטענת המבקשת </w:t>
      </w:r>
      <w:r w:rsidR="0089428C">
        <w:rPr>
          <w:rFonts w:ascii="Arial" w:hAnsi="Arial" w:hint="cs"/>
          <w:noProof w:val="0"/>
          <w:rtl/>
        </w:rPr>
        <w:t xml:space="preserve">קיים חשש ממשי למשוא פנים נוכח העובדה שלטענתה בית המשפט גיבש עמדתו בשאלות שבמחלוקת בין הצדדים ובמיוחד בתיק בעניין הקטינה. לטענת המבקשת דעתו של בית המשפט נעולה אודות האם ולטענתה בפניי בית המשפט האם תמיד תהיה אמא שיכורה אלכוהוליסטית שמתכחשת לבעיית האלכוהול שלה כל זאת בהישען על החלטת בית המשפט מיום 11.4.2024 אותה צוטטה המבקשת במסגרת בקשה זו. </w:t>
      </w:r>
    </w:p>
    <w:p w:rsidR="0089428C" w:rsidRDefault="0089428C" w:rsidP="0089428C">
      <w:pPr>
        <w:pStyle w:val="ad"/>
        <w:numPr>
          <w:ilvl w:val="0"/>
          <w:numId w:val="1"/>
        </w:numPr>
        <w:spacing w:line="360" w:lineRule="auto"/>
        <w:jc w:val="both"/>
        <w:rPr>
          <w:rFonts w:ascii="Arial" w:hAnsi="Arial"/>
          <w:noProof w:val="0"/>
        </w:rPr>
      </w:pPr>
      <w:r>
        <w:rPr>
          <w:rFonts w:ascii="Arial" w:hAnsi="Arial" w:hint="cs"/>
          <w:noProof w:val="0"/>
          <w:rtl/>
        </w:rPr>
        <w:t xml:space="preserve">טענת המבקשת בית המשפט נעול בדעתו ואינו מסוגל ו\או יכול לשנות דעתו כי האם נקייה מהאלכוהול למרות שהוגשו האישורים הנדרשים והוכחת הורותה, כך לדבריה. </w:t>
      </w:r>
    </w:p>
    <w:p w:rsidR="0089428C" w:rsidRDefault="0089428C" w:rsidP="0089428C">
      <w:pPr>
        <w:pStyle w:val="ad"/>
        <w:numPr>
          <w:ilvl w:val="0"/>
          <w:numId w:val="1"/>
        </w:numPr>
        <w:spacing w:line="360" w:lineRule="auto"/>
        <w:jc w:val="both"/>
        <w:rPr>
          <w:rFonts w:ascii="Arial" w:hAnsi="Arial"/>
          <w:noProof w:val="0"/>
        </w:rPr>
      </w:pPr>
      <w:r>
        <w:rPr>
          <w:rFonts w:ascii="Arial" w:hAnsi="Arial" w:hint="cs"/>
          <w:noProof w:val="0"/>
          <w:rtl/>
        </w:rPr>
        <w:lastRenderedPageBreak/>
        <w:t>עוד מוסיפה המבקשת</w:t>
      </w:r>
      <w:r w:rsidR="00C626AA">
        <w:rPr>
          <w:rFonts w:ascii="Arial" w:hAnsi="Arial" w:hint="cs"/>
          <w:noProof w:val="0"/>
          <w:rtl/>
        </w:rPr>
        <w:t>,</w:t>
      </w:r>
      <w:r>
        <w:rPr>
          <w:rFonts w:ascii="Arial" w:hAnsi="Arial" w:hint="cs"/>
          <w:noProof w:val="0"/>
          <w:rtl/>
        </w:rPr>
        <w:t xml:space="preserve"> כי החלטת בית המשפט מיום 11.4.2024 הינה המשך ישיר לדברים שנאמרו באותה הרוח על ידי בית המשפט בדיון שהתקיים ביום 12.3.2024 בשיח שהתקיים מחוץ לפרוטוקול ובכך לטענתה יש להצביע על העדר אובייקטיביות ודעה נעולה ומקובעת שלא ניתנת לשינוי. </w:t>
      </w:r>
    </w:p>
    <w:p w:rsidR="00BC36E9" w:rsidRDefault="0089428C" w:rsidP="0089428C">
      <w:pPr>
        <w:pStyle w:val="ad"/>
        <w:numPr>
          <w:ilvl w:val="0"/>
          <w:numId w:val="1"/>
        </w:numPr>
        <w:spacing w:line="360" w:lineRule="auto"/>
        <w:jc w:val="both"/>
        <w:rPr>
          <w:rFonts w:ascii="Arial" w:hAnsi="Arial"/>
          <w:noProof w:val="0"/>
        </w:rPr>
      </w:pPr>
      <w:r>
        <w:rPr>
          <w:rFonts w:ascii="Arial" w:hAnsi="Arial" w:hint="cs"/>
          <w:noProof w:val="0"/>
          <w:rtl/>
        </w:rPr>
        <w:t xml:space="preserve">כמו כן, טוענת המבקשת כי העדר האובייקטיביות </w:t>
      </w:r>
      <w:r w:rsidR="00BC36E9">
        <w:rPr>
          <w:rFonts w:ascii="Arial" w:hAnsi="Arial" w:hint="cs"/>
          <w:noProof w:val="0"/>
          <w:rtl/>
        </w:rPr>
        <w:t xml:space="preserve">מוצאת ביטוי בהתנהלות שלא שוויונית כלפי המבקשת הנגועה לכאורה בנשוא פנים וזאת בהתאם להחלטות מגמתיות כנגד המבקשת, לרבות בעניין הסדרי השהייה בחגים ובפרט בליל הסדר. </w:t>
      </w:r>
    </w:p>
    <w:p w:rsidR="0089428C" w:rsidRDefault="00BC36E9" w:rsidP="0089428C">
      <w:pPr>
        <w:pStyle w:val="ad"/>
        <w:numPr>
          <w:ilvl w:val="0"/>
          <w:numId w:val="1"/>
        </w:numPr>
        <w:spacing w:line="360" w:lineRule="auto"/>
        <w:jc w:val="both"/>
        <w:rPr>
          <w:rFonts w:ascii="Arial" w:hAnsi="Arial"/>
          <w:noProof w:val="0"/>
        </w:rPr>
      </w:pPr>
      <w:r>
        <w:rPr>
          <w:rFonts w:ascii="Arial" w:hAnsi="Arial" w:hint="cs"/>
          <w:noProof w:val="0"/>
          <w:rtl/>
        </w:rPr>
        <w:t>עוד מוסיפה המבקשת וטוענת</w:t>
      </w:r>
      <w:r w:rsidR="00C626AA">
        <w:rPr>
          <w:rFonts w:ascii="Arial" w:hAnsi="Arial" w:hint="cs"/>
          <w:noProof w:val="0"/>
          <w:rtl/>
        </w:rPr>
        <w:t>,</w:t>
      </w:r>
      <w:r>
        <w:rPr>
          <w:rFonts w:ascii="Arial" w:hAnsi="Arial" w:hint="cs"/>
          <w:noProof w:val="0"/>
          <w:rtl/>
        </w:rPr>
        <w:t xml:space="preserve"> כי בית המשפט לא שמר על כבודה כנגד טענות שנטענו לגביה על ידי ב"כ המשיב בהן היה ניחוח גזעני. עוד מוסיפה המבקשת וטוענת כי בית המשפט מחק כתבי טענות רק של המבקשת וטענה שהוגשו בניגוד לתקנות ומנגד קיבל כתבי טענות מטעם המשיב שאף הם הוגשו בניגוד לתקנות, ומציינת באופן ספציפי את קבלת התובענה להתרת הנישואין שהוגש לטענתה, בניגוד לתקנות וללא תעודת נישואין.</w:t>
      </w:r>
    </w:p>
    <w:p w:rsidR="00F9741B" w:rsidRPr="00F9741B" w:rsidRDefault="00BC36E9" w:rsidP="00F9741B">
      <w:pPr>
        <w:pStyle w:val="ad"/>
        <w:numPr>
          <w:ilvl w:val="0"/>
          <w:numId w:val="1"/>
        </w:numPr>
        <w:spacing w:line="360" w:lineRule="auto"/>
        <w:jc w:val="both"/>
        <w:rPr>
          <w:rFonts w:ascii="Arial" w:hAnsi="Arial"/>
          <w:noProof w:val="0"/>
          <w:rtl/>
        </w:rPr>
      </w:pPr>
      <w:r>
        <w:rPr>
          <w:rFonts w:ascii="Arial" w:hAnsi="Arial" w:hint="cs"/>
          <w:noProof w:val="0"/>
          <w:rtl/>
        </w:rPr>
        <w:t xml:space="preserve">בנוסף, טוענת המבקשת, כי </w:t>
      </w:r>
      <w:r w:rsidR="00B63FC2">
        <w:rPr>
          <w:rFonts w:ascii="Arial" w:hAnsi="Arial" w:hint="cs"/>
          <w:noProof w:val="0"/>
          <w:rtl/>
        </w:rPr>
        <w:t xml:space="preserve">חרף שבית המשפט נחשף למצוקתה הכלכלית הקשה של המבקשת הורה על חיובה בהוצאות בסך 750 ₪ לטובת אוצר המדינה, הוצאות אלו מהוות 20% משכרה של המבקשת בעוד כל בקשות הסרק שהגיש המשיב "עברו חלק". </w:t>
      </w:r>
    </w:p>
    <w:p w:rsidR="005D79FB" w:rsidRPr="005D79FB" w:rsidRDefault="005D79FB" w:rsidP="005D79FB">
      <w:pPr>
        <w:spacing w:line="360" w:lineRule="auto"/>
        <w:jc w:val="both"/>
        <w:rPr>
          <w:rFonts w:ascii="Arial" w:hAnsi="Arial"/>
          <w:b/>
          <w:bCs/>
          <w:noProof w:val="0"/>
          <w:u w:val="single"/>
          <w:rtl/>
        </w:rPr>
      </w:pPr>
      <w:r w:rsidRPr="005D79FB">
        <w:rPr>
          <w:rFonts w:ascii="Arial" w:hAnsi="Arial" w:hint="cs"/>
          <w:b/>
          <w:bCs/>
          <w:noProof w:val="0"/>
          <w:u w:val="single"/>
          <w:rtl/>
        </w:rPr>
        <w:t>טענות המשיב:</w:t>
      </w:r>
    </w:p>
    <w:p w:rsidR="00B63FC2" w:rsidRDefault="00B63FC2" w:rsidP="00B63FC2">
      <w:pPr>
        <w:pStyle w:val="ad"/>
        <w:numPr>
          <w:ilvl w:val="0"/>
          <w:numId w:val="1"/>
        </w:numPr>
        <w:spacing w:line="360" w:lineRule="auto"/>
        <w:jc w:val="both"/>
        <w:rPr>
          <w:rFonts w:ascii="Arial" w:hAnsi="Arial"/>
          <w:noProof w:val="0"/>
        </w:rPr>
      </w:pPr>
      <w:r>
        <w:rPr>
          <w:rFonts w:ascii="Arial" w:hAnsi="Arial" w:hint="cs"/>
          <w:noProof w:val="0"/>
          <w:rtl/>
        </w:rPr>
        <w:t xml:space="preserve">המשיב הביע תדהמתו מהגשת הבקשה, לטענתו אמור בבקשה רחוק מהאמת. מדובר בבקשה חסרת תום לב ומטרתה ניסיון פסול לערער על החלטות בית המשפט במקרה הטוב, ובמקרה הפחות טוב להלך אימים על בית המשפט הנכבד. </w:t>
      </w:r>
    </w:p>
    <w:p w:rsidR="009D06BA" w:rsidRDefault="00B63FC2" w:rsidP="00B63FC2">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 טען פעם אחר פעם כי המבקשת לא מסוגלת לקחת אחריות על חלקה במצב אליו הגיעו הצדדים ובפרט ביתם של הצדדים, ולטענתו כל מי שמעז לעמת המבקשת עם בעיית התמכרות האלכוהול שלה, הופך לאשם במקומה. </w:t>
      </w:r>
    </w:p>
    <w:p w:rsidR="009D06BA" w:rsidRDefault="009D06BA" w:rsidP="009D06BA">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 המבקשת מודה בבעיית ההתמכרות לאלכוהול אך אינה מוכנה כי העניין ידובר. </w:t>
      </w:r>
    </w:p>
    <w:p w:rsidR="009D06BA" w:rsidRDefault="009D06BA" w:rsidP="009D06BA">
      <w:pPr>
        <w:pStyle w:val="ad"/>
        <w:numPr>
          <w:ilvl w:val="0"/>
          <w:numId w:val="1"/>
        </w:numPr>
        <w:spacing w:line="360" w:lineRule="auto"/>
        <w:jc w:val="both"/>
        <w:rPr>
          <w:rFonts w:ascii="Arial" w:hAnsi="Arial"/>
          <w:noProof w:val="0"/>
        </w:rPr>
      </w:pPr>
      <w:r>
        <w:rPr>
          <w:rFonts w:ascii="Arial" w:hAnsi="Arial" w:hint="cs"/>
          <w:noProof w:val="0"/>
          <w:rtl/>
        </w:rPr>
        <w:t>הניסיון לייחס לב"כ המשיב אמירות גזעניות ופוגעניות כלפי המבקשת הינו ניסיון עלוב ומקומם שמטרתו לייצר אצל בית המשפט רושם מוטעה כלפיה.</w:t>
      </w:r>
    </w:p>
    <w:p w:rsidR="005D79FB" w:rsidRDefault="009D06BA" w:rsidP="009D06BA">
      <w:pPr>
        <w:pStyle w:val="ad"/>
        <w:numPr>
          <w:ilvl w:val="0"/>
          <w:numId w:val="1"/>
        </w:numPr>
        <w:spacing w:line="360" w:lineRule="auto"/>
        <w:jc w:val="both"/>
        <w:rPr>
          <w:rFonts w:ascii="Arial" w:hAnsi="Arial"/>
          <w:noProof w:val="0"/>
        </w:rPr>
      </w:pPr>
      <w:r>
        <w:rPr>
          <w:rFonts w:ascii="Arial" w:hAnsi="Arial" w:hint="cs"/>
          <w:noProof w:val="0"/>
          <w:rtl/>
        </w:rPr>
        <w:t xml:space="preserve"> לטענת המשיב התנהלותו של בית המשפט כלפיי המבקשת הייתה סבלנית ביותר ולטענתו סבלנית מידי. לטענת המשיב בית המשפט עשה כל שביכולתו על מנת שלא לקבל החלטות מרחיקות לכת, פעל בסבלנות אין קץ וזאת למרות הגשת עשרות בקשות, תגובות, והודעות בניגוד לתקנות סדר הדין. </w:t>
      </w:r>
    </w:p>
    <w:p w:rsidR="009D06BA" w:rsidRDefault="009D06BA" w:rsidP="009D06BA">
      <w:pPr>
        <w:pStyle w:val="ad"/>
        <w:numPr>
          <w:ilvl w:val="0"/>
          <w:numId w:val="1"/>
        </w:numPr>
        <w:spacing w:line="360" w:lineRule="auto"/>
        <w:jc w:val="both"/>
        <w:rPr>
          <w:rFonts w:ascii="Arial" w:hAnsi="Arial"/>
          <w:noProof w:val="0"/>
        </w:rPr>
      </w:pPr>
      <w:r>
        <w:rPr>
          <w:rFonts w:ascii="Arial" w:hAnsi="Arial" w:hint="cs"/>
          <w:noProof w:val="0"/>
          <w:rtl/>
        </w:rPr>
        <w:lastRenderedPageBreak/>
        <w:t>לטענת המשיב פעם אחר פעם ביקש ודרש לחייב את המבקשת בהוצאות ופעם אחר פעם בית המשפט בחר לתת עוד ועוד הזדמנויות למבקשת לתקן דרכיה</w:t>
      </w:r>
      <w:r w:rsidR="00926412">
        <w:rPr>
          <w:rFonts w:ascii="Arial" w:hAnsi="Arial" w:hint="cs"/>
          <w:noProof w:val="0"/>
          <w:rtl/>
        </w:rPr>
        <w:t xml:space="preserve">. </w:t>
      </w:r>
    </w:p>
    <w:p w:rsidR="00926412" w:rsidRDefault="00926412" w:rsidP="009D06BA">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 בדיון שהתקיים ביום 12.3.2024, הביע בית המשפט שביעות רצונו מהתקדמות המבקשת ואף הסביר למבקשת ובסבלנות רבה מדוע הינה זקוקה לטיפול רגשי. </w:t>
      </w:r>
    </w:p>
    <w:p w:rsidR="00926412" w:rsidRDefault="00926412" w:rsidP="009D06BA">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 חרף טענות המבקשת למשוא פנים תוך הסתכלות אובייקטיבית בית המשפט הרחיב את זמני השהות עם הקטינה המשותפת, דבר שמעיד כי טענות המבקשת משוללות כל יסוד ובסיס. </w:t>
      </w:r>
    </w:p>
    <w:p w:rsidR="00926412" w:rsidRDefault="00926412" w:rsidP="009D06BA">
      <w:pPr>
        <w:pStyle w:val="ad"/>
        <w:numPr>
          <w:ilvl w:val="0"/>
          <w:numId w:val="1"/>
        </w:numPr>
        <w:spacing w:line="360" w:lineRule="auto"/>
        <w:jc w:val="both"/>
        <w:rPr>
          <w:rFonts w:ascii="Arial" w:hAnsi="Arial"/>
          <w:noProof w:val="0"/>
        </w:rPr>
      </w:pPr>
      <w:r>
        <w:rPr>
          <w:rFonts w:ascii="Arial" w:hAnsi="Arial" w:hint="cs"/>
          <w:noProof w:val="0"/>
          <w:rtl/>
        </w:rPr>
        <w:t xml:space="preserve">טענות המבקשת בדבר אי מינוי מומחה לניכור הורי אין הברורה שכן לא עלתה בפני בית המשפט בקשה שכזו, הדבר לא מצא ביטוי בתסקירים שהוגשו, ו\או בדיווחים שהוגשו על ידי האפוטרופוס לדין. </w:t>
      </w:r>
    </w:p>
    <w:p w:rsidR="00694556" w:rsidRPr="00F9741B" w:rsidRDefault="00926412" w:rsidP="00F9741B">
      <w:pPr>
        <w:pStyle w:val="ad"/>
        <w:numPr>
          <w:ilvl w:val="0"/>
          <w:numId w:val="1"/>
        </w:numPr>
        <w:spacing w:line="360" w:lineRule="auto"/>
        <w:jc w:val="both"/>
        <w:rPr>
          <w:rFonts w:ascii="Arial" w:hAnsi="Arial"/>
          <w:noProof w:val="0"/>
          <w:rtl/>
        </w:rPr>
      </w:pPr>
      <w:r>
        <w:rPr>
          <w:rFonts w:ascii="Arial" w:hAnsi="Arial" w:hint="cs"/>
          <w:noProof w:val="0"/>
          <w:rtl/>
        </w:rPr>
        <w:t xml:space="preserve">המשיב מבקש לדחות הבקשה על סף ולחייב בהוצאות ובשכר טרחת עו"ד. </w:t>
      </w:r>
    </w:p>
    <w:p w:rsidR="005D79FB" w:rsidRDefault="005D79FB" w:rsidP="005D79FB">
      <w:pPr>
        <w:spacing w:line="360" w:lineRule="auto"/>
        <w:ind w:left="567" w:hanging="567"/>
        <w:jc w:val="both"/>
        <w:rPr>
          <w:rFonts w:ascii="Arial" w:hAnsi="Arial"/>
          <w:b/>
          <w:bCs/>
          <w:noProof w:val="0"/>
          <w:u w:val="single"/>
        </w:rPr>
      </w:pPr>
      <w:r>
        <w:rPr>
          <w:rFonts w:ascii="Arial" w:hAnsi="Arial"/>
          <w:b/>
          <w:bCs/>
          <w:noProof w:val="0"/>
          <w:u w:val="single"/>
          <w:rtl/>
        </w:rPr>
        <w:t>דיון והכרעה</w:t>
      </w:r>
    </w:p>
    <w:p w:rsidR="005D79FB" w:rsidRPr="00926412" w:rsidRDefault="005D79FB" w:rsidP="00926412">
      <w:pPr>
        <w:pStyle w:val="ad"/>
        <w:numPr>
          <w:ilvl w:val="0"/>
          <w:numId w:val="1"/>
        </w:numPr>
        <w:spacing w:line="360" w:lineRule="auto"/>
        <w:jc w:val="both"/>
        <w:rPr>
          <w:rFonts w:ascii="Arial" w:hAnsi="Arial"/>
          <w:noProof w:val="0"/>
          <w:rtl/>
        </w:rPr>
      </w:pPr>
      <w:r w:rsidRPr="00926412">
        <w:rPr>
          <w:rFonts w:ascii="Arial" w:hAnsi="Arial"/>
          <w:noProof w:val="0"/>
          <w:rtl/>
        </w:rPr>
        <w:t>בקשה לפסילת שופט מוסדרת בסעיף 77א לחוק בתי המשפט [נוסח משולב], תשנ"ב-1992 הקובע כי:</w:t>
      </w:r>
    </w:p>
    <w:p w:rsidR="005D79FB" w:rsidRDefault="005D79FB" w:rsidP="00BB3D56">
      <w:pPr>
        <w:spacing w:line="360" w:lineRule="auto"/>
        <w:ind w:left="720"/>
        <w:jc w:val="both"/>
        <w:rPr>
          <w:rFonts w:ascii="Arial" w:hAnsi="Arial"/>
          <w:b/>
          <w:bCs/>
          <w:noProof w:val="0"/>
          <w:rtl/>
        </w:rPr>
      </w:pPr>
      <w:r>
        <w:rPr>
          <w:rFonts w:ascii="Arial" w:hAnsi="Arial"/>
          <w:b/>
          <w:bCs/>
          <w:noProof w:val="0"/>
          <w:rtl/>
        </w:rPr>
        <w:t>"בעל דין רשאי לבקש ששופט פלוני יפסול עצמו מלישב בדין אם קיימות נסיבות שיש בהן כדי ליצור חשש ממשי למשוא פנים בניהול המשפט".</w:t>
      </w:r>
    </w:p>
    <w:p w:rsidR="005D79FB" w:rsidRDefault="005D79FB" w:rsidP="005D79FB">
      <w:pPr>
        <w:spacing w:line="360" w:lineRule="auto"/>
        <w:ind w:left="567"/>
        <w:jc w:val="both"/>
        <w:rPr>
          <w:rFonts w:ascii="Arial" w:hAnsi="Arial"/>
          <w:b/>
          <w:bCs/>
          <w:noProof w:val="0"/>
          <w:rtl/>
        </w:rPr>
      </w:pPr>
    </w:p>
    <w:p w:rsidR="005D79FB" w:rsidRDefault="005D79FB" w:rsidP="00BB3D56">
      <w:pPr>
        <w:spacing w:line="360" w:lineRule="auto"/>
        <w:ind w:left="567" w:firstLine="153"/>
        <w:jc w:val="both"/>
        <w:rPr>
          <w:rFonts w:ascii="Arial" w:hAnsi="Arial"/>
          <w:noProof w:val="0"/>
          <w:rtl/>
        </w:rPr>
      </w:pPr>
      <w:r>
        <w:rPr>
          <w:rFonts w:ascii="Arial" w:hAnsi="Arial"/>
          <w:noProof w:val="0"/>
          <w:rtl/>
        </w:rPr>
        <w:t>כאשר אותו 'חשש ממשי למשוא פנים' פורש כ'אפשרות ממשית' להבדיל מ'חשש סביר' בלבד.</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קרי, "שמן הנסיבות החיצוניות הכרחי להתרשם שקיימת אפשרות מאוד מסתברת, שאכן נבצר מהשופט לשפוט את דינם של בעלי-הדין באובייקטיביות הדרושה".</w:t>
      </w:r>
    </w:p>
    <w:p w:rsidR="005D79FB" w:rsidRDefault="005D79FB" w:rsidP="005D79FB">
      <w:pPr>
        <w:spacing w:line="360" w:lineRule="auto"/>
        <w:ind w:left="567"/>
        <w:jc w:val="both"/>
        <w:rPr>
          <w:rFonts w:ascii="Arial" w:hAnsi="Arial"/>
          <w:noProof w:val="0"/>
          <w:rtl/>
        </w:rPr>
      </w:pPr>
    </w:p>
    <w:p w:rsidR="005D79FB" w:rsidRDefault="005D79FB" w:rsidP="0078394D">
      <w:pPr>
        <w:spacing w:line="360" w:lineRule="auto"/>
        <w:ind w:left="567" w:firstLine="153"/>
        <w:jc w:val="both"/>
        <w:rPr>
          <w:rFonts w:ascii="Arial" w:hAnsi="Arial"/>
          <w:noProof w:val="0"/>
          <w:rtl/>
        </w:rPr>
      </w:pPr>
      <w:r w:rsidRPr="0078394D">
        <w:rPr>
          <w:rFonts w:ascii="David" w:hAnsi="David"/>
          <w:noProof w:val="0"/>
          <w:rtl/>
        </w:rPr>
        <w:t xml:space="preserve">ב"ש </w:t>
      </w:r>
      <w:r w:rsidR="0078394D" w:rsidRPr="0078394D">
        <w:rPr>
          <w:rFonts w:ascii="David" w:hAnsi="David"/>
          <w:noProof w:val="0"/>
        </w:rPr>
        <w:t>48/75</w:t>
      </w:r>
      <w:r w:rsidRPr="0078394D">
        <w:rPr>
          <w:rFonts w:ascii="David" w:hAnsi="David"/>
          <w:noProof w:val="0"/>
          <w:rtl/>
        </w:rPr>
        <w:t xml:space="preserve"> </w:t>
      </w:r>
      <w:r w:rsidR="0078394D" w:rsidRPr="0078394D">
        <w:rPr>
          <w:rFonts w:ascii="David" w:hAnsi="David"/>
          <w:b/>
          <w:bCs/>
          <w:noProof w:val="0"/>
          <w:rtl/>
        </w:rPr>
        <w:t>ידיד</w:t>
      </w:r>
      <w:r>
        <w:rPr>
          <w:rFonts w:ascii="Arial" w:hAnsi="Arial"/>
          <w:b/>
          <w:bCs/>
          <w:noProof w:val="0"/>
          <w:rtl/>
        </w:rPr>
        <w:t xml:space="preserve"> נ' </w:t>
      </w:r>
      <w:r w:rsidR="0078394D">
        <w:rPr>
          <w:rFonts w:ascii="Arial" w:hAnsi="Arial" w:hint="cs"/>
          <w:b/>
          <w:bCs/>
          <w:noProof w:val="0"/>
          <w:rtl/>
        </w:rPr>
        <w:t>מדינת ישראל</w:t>
      </w:r>
      <w:r>
        <w:rPr>
          <w:rFonts w:ascii="Arial" w:hAnsi="Arial"/>
          <w:b/>
          <w:bCs/>
          <w:noProof w:val="0"/>
          <w:rtl/>
        </w:rPr>
        <w:t xml:space="preserve">, </w:t>
      </w:r>
      <w:r>
        <w:rPr>
          <w:rFonts w:ascii="Arial" w:hAnsi="Arial"/>
          <w:noProof w:val="0"/>
          <w:rtl/>
        </w:rPr>
        <w:t>פ"ד כט (2) 375.</w:t>
      </w:r>
    </w:p>
    <w:p w:rsidR="005D79FB" w:rsidRDefault="005D79FB" w:rsidP="005D79FB">
      <w:pPr>
        <w:spacing w:line="360" w:lineRule="auto"/>
        <w:jc w:val="both"/>
        <w:rPr>
          <w:rFonts w:ascii="Arial" w:hAnsi="Arial"/>
          <w:noProof w:val="0"/>
          <w:rtl/>
        </w:rPr>
      </w:pPr>
    </w:p>
    <w:p w:rsidR="005D79FB" w:rsidRPr="00BB3D56" w:rsidRDefault="005D79FB" w:rsidP="00BB3D56">
      <w:pPr>
        <w:pStyle w:val="ad"/>
        <w:numPr>
          <w:ilvl w:val="0"/>
          <w:numId w:val="1"/>
        </w:numPr>
        <w:spacing w:line="360" w:lineRule="auto"/>
        <w:jc w:val="both"/>
        <w:rPr>
          <w:rFonts w:ascii="Arial" w:hAnsi="Arial"/>
          <w:noProof w:val="0"/>
          <w:rtl/>
        </w:rPr>
      </w:pPr>
      <w:r w:rsidRPr="00BB3D56">
        <w:rPr>
          <w:rFonts w:ascii="Arial" w:hAnsi="Arial"/>
          <w:noProof w:val="0"/>
          <w:rtl/>
        </w:rPr>
        <w:t>הלכה היא כי אין בהחלטות דיוניות, כלשעצמן, כדי לבסס עילת פסלות, בין אם מדובר בהחלטה בודדת או במספר החלטות רב. בהקשר זה על המבקש להצביע על חשש ממשי למשוא פנים וכי בהחלטות בית המשפט יש כדי להעיד כי בית המשפט אינו פתוח לשכנוע.</w:t>
      </w:r>
    </w:p>
    <w:p w:rsidR="005D79FB" w:rsidRDefault="005D79FB" w:rsidP="005D79FB">
      <w:pPr>
        <w:spacing w:line="360" w:lineRule="auto"/>
        <w:ind w:left="567" w:hanging="567"/>
        <w:jc w:val="both"/>
        <w:rPr>
          <w:rFonts w:ascii="Arial" w:hAnsi="Arial"/>
          <w:noProof w:val="0"/>
          <w:rtl/>
        </w:rPr>
      </w:pPr>
    </w:p>
    <w:p w:rsidR="005D79FB" w:rsidRDefault="005D79FB" w:rsidP="005D79FB">
      <w:pPr>
        <w:spacing w:line="360" w:lineRule="auto"/>
        <w:ind w:left="567" w:hanging="567"/>
        <w:jc w:val="both"/>
        <w:rPr>
          <w:rFonts w:ascii="Arial" w:hAnsi="Arial"/>
          <w:noProof w:val="0"/>
          <w:rtl/>
        </w:rPr>
      </w:pPr>
      <w:r>
        <w:rPr>
          <w:rFonts w:ascii="Arial" w:hAnsi="Arial"/>
          <w:noProof w:val="0"/>
          <w:rtl/>
        </w:rPr>
        <w:tab/>
        <w:t xml:space="preserve">ראו בעניין זה: </w:t>
      </w:r>
    </w:p>
    <w:p w:rsidR="005D79FB" w:rsidRDefault="005D79FB" w:rsidP="0078394D">
      <w:pPr>
        <w:spacing w:line="360" w:lineRule="auto"/>
        <w:ind w:left="567" w:hanging="567"/>
        <w:jc w:val="both"/>
        <w:rPr>
          <w:rFonts w:ascii="Arial" w:hAnsi="Arial"/>
          <w:noProof w:val="0"/>
          <w:rtl/>
        </w:rPr>
      </w:pPr>
      <w:r>
        <w:rPr>
          <w:rFonts w:ascii="Arial" w:hAnsi="Arial"/>
          <w:noProof w:val="0"/>
          <w:rtl/>
        </w:rPr>
        <w:tab/>
      </w:r>
      <w:r w:rsidR="0078394D" w:rsidRPr="0078394D">
        <w:rPr>
          <w:rFonts w:ascii="Arial" w:hAnsi="Arial" w:hint="cs"/>
          <w:noProof w:val="0"/>
          <w:rtl/>
        </w:rPr>
        <w:t xml:space="preserve">ע"א 5425/03 </w:t>
      </w:r>
      <w:r w:rsidR="0078394D">
        <w:rPr>
          <w:rFonts w:ascii="Arial" w:hAnsi="Arial" w:hint="cs"/>
          <w:b/>
          <w:bCs/>
          <w:noProof w:val="0"/>
          <w:rtl/>
        </w:rPr>
        <w:t>חזון</w:t>
      </w:r>
      <w:r>
        <w:rPr>
          <w:rFonts w:ascii="Arial" w:hAnsi="Arial"/>
          <w:b/>
          <w:bCs/>
          <w:noProof w:val="0"/>
          <w:rtl/>
        </w:rPr>
        <w:t xml:space="preserve"> נ' </w:t>
      </w:r>
      <w:r w:rsidR="0078394D">
        <w:rPr>
          <w:rFonts w:ascii="Arial" w:hAnsi="Arial" w:hint="cs"/>
          <w:b/>
          <w:bCs/>
          <w:noProof w:val="0"/>
          <w:rtl/>
        </w:rPr>
        <w:t>חזון</w:t>
      </w:r>
      <w:r>
        <w:rPr>
          <w:rFonts w:ascii="Arial" w:hAnsi="Arial"/>
          <w:b/>
          <w:bCs/>
          <w:noProof w:val="0"/>
          <w:rtl/>
        </w:rPr>
        <w:t xml:space="preserve">, </w:t>
      </w:r>
      <w:r>
        <w:rPr>
          <w:rFonts w:ascii="Arial" w:hAnsi="Arial"/>
          <w:noProof w:val="0"/>
          <w:rtl/>
        </w:rPr>
        <w:t>תק-על 2003 (2) 3023.</w:t>
      </w:r>
    </w:p>
    <w:p w:rsidR="005D79FB" w:rsidRDefault="005D79FB" w:rsidP="0078394D">
      <w:pPr>
        <w:spacing w:line="360" w:lineRule="auto"/>
        <w:ind w:left="567" w:hanging="567"/>
        <w:jc w:val="both"/>
        <w:rPr>
          <w:rFonts w:ascii="Arial" w:hAnsi="Arial"/>
          <w:noProof w:val="0"/>
          <w:rtl/>
        </w:rPr>
      </w:pPr>
      <w:r>
        <w:rPr>
          <w:rFonts w:ascii="Arial" w:hAnsi="Arial"/>
          <w:noProof w:val="0"/>
          <w:rtl/>
        </w:rPr>
        <w:tab/>
      </w:r>
      <w:r w:rsidR="0078394D">
        <w:rPr>
          <w:rFonts w:ascii="Arial" w:hAnsi="Arial" w:hint="cs"/>
          <w:noProof w:val="0"/>
          <w:rtl/>
        </w:rPr>
        <w:t xml:space="preserve">ע"פ 3504/92 </w:t>
      </w:r>
      <w:r w:rsidR="0078394D">
        <w:rPr>
          <w:rFonts w:ascii="Arial" w:hAnsi="Arial" w:hint="cs"/>
          <w:b/>
          <w:bCs/>
          <w:noProof w:val="0"/>
          <w:rtl/>
        </w:rPr>
        <w:t>הלפרן</w:t>
      </w:r>
      <w:r>
        <w:rPr>
          <w:rFonts w:ascii="Arial" w:hAnsi="Arial"/>
          <w:b/>
          <w:bCs/>
          <w:noProof w:val="0"/>
          <w:rtl/>
        </w:rPr>
        <w:t xml:space="preserve"> נ' </w:t>
      </w:r>
      <w:r w:rsidR="0078394D">
        <w:rPr>
          <w:rFonts w:ascii="Arial" w:hAnsi="Arial" w:hint="cs"/>
          <w:b/>
          <w:bCs/>
          <w:noProof w:val="0"/>
          <w:rtl/>
        </w:rPr>
        <w:t>מדינת ישראל</w:t>
      </w:r>
      <w:r>
        <w:rPr>
          <w:rFonts w:ascii="Arial" w:hAnsi="Arial"/>
          <w:b/>
          <w:bCs/>
          <w:noProof w:val="0"/>
          <w:rtl/>
        </w:rPr>
        <w:t xml:space="preserve">, </w:t>
      </w:r>
      <w:r>
        <w:rPr>
          <w:rFonts w:ascii="Arial" w:hAnsi="Arial"/>
          <w:noProof w:val="0"/>
          <w:rtl/>
        </w:rPr>
        <w:t>תק-על 92 (3) 217.</w:t>
      </w:r>
    </w:p>
    <w:p w:rsidR="005D79FB" w:rsidRDefault="005D79FB" w:rsidP="005D79FB">
      <w:pPr>
        <w:spacing w:line="360" w:lineRule="auto"/>
        <w:ind w:left="567" w:hanging="567"/>
        <w:jc w:val="both"/>
        <w:rPr>
          <w:rFonts w:ascii="Arial" w:hAnsi="Arial"/>
          <w:noProof w:val="0"/>
          <w:rtl/>
        </w:rPr>
      </w:pPr>
    </w:p>
    <w:p w:rsidR="005D79FB" w:rsidRPr="00BB3D56" w:rsidRDefault="005D79FB" w:rsidP="00BB3D56">
      <w:pPr>
        <w:pStyle w:val="ad"/>
        <w:numPr>
          <w:ilvl w:val="0"/>
          <w:numId w:val="1"/>
        </w:numPr>
        <w:spacing w:line="360" w:lineRule="auto"/>
        <w:jc w:val="both"/>
        <w:rPr>
          <w:rFonts w:ascii="Arial" w:hAnsi="Arial"/>
          <w:noProof w:val="0"/>
          <w:rtl/>
        </w:rPr>
      </w:pPr>
      <w:r w:rsidRPr="00BB3D56">
        <w:rPr>
          <w:rFonts w:ascii="Arial" w:hAnsi="Arial"/>
          <w:noProof w:val="0"/>
          <w:rtl/>
        </w:rPr>
        <w:lastRenderedPageBreak/>
        <w:t>הנחת היסוד העומדת בבסיס ההלכה כאמור נעוצה במספר טעמים.</w:t>
      </w:r>
    </w:p>
    <w:p w:rsidR="005D79FB" w:rsidRDefault="005D79FB" w:rsidP="005D79FB">
      <w:pPr>
        <w:spacing w:line="360" w:lineRule="auto"/>
        <w:ind w:left="567" w:hanging="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האחד, כי השופט הוא בלתי תלוי ופועל ללא משוא פנים ומכאן כי הדרך בה הוא פוסק לגופו של עניין בסוגיות ובבקשות הבאות לפניו אין בה לבדה כדי להעיד על משוא פנים.</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השני, הכרה באפשרות לפסול שופט בשל החלטותיו, עלולה להפיל על השופט מורא שמא תוגש נגדו בקשת פסלות והתוצאה עלולה להיות כי השופט לא יפסוק על פי המתחייב מן הדין ומהניהול היעיל והתקין של המשפט, אלא באופן הבא למנוע את פסילתו. תוצאה זו אינה ראויה ואינה רצויה מבחינת שיקולי צדק ואיננה רצויה אף מבחינת האינטרס החברתי של שמירה על ניהול ותפקוד תקינים ויעילים של מערכת המשפט.</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כך גם מהטעם שאין  החלטות דיוניות מהוות עילת פסילה כשלעצמן, שכן הדרך להשיג עליהן היא במסגרת הליכי הערעור.</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אם כן, בקשות לפסלות שופט לאור החלטותיו הדיוניות, תתקבלנה במקרים נדירים ביותר, בהם ניתן לזהות משוא פנים של השופט מעצם העובדה כי הוא פוסק שוב ושוב נגד בעל דין מסוים ועל הטוען לפסלות מנימוק זה לעמוד בנטל כבד ביותר.</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567" w:firstLine="153"/>
        <w:jc w:val="both"/>
        <w:rPr>
          <w:rFonts w:ascii="Arial" w:hAnsi="Arial"/>
          <w:noProof w:val="0"/>
          <w:rtl/>
        </w:rPr>
      </w:pPr>
      <w:r>
        <w:rPr>
          <w:rFonts w:ascii="Arial" w:hAnsi="Arial"/>
          <w:noProof w:val="0"/>
          <w:rtl/>
        </w:rPr>
        <w:t>ראו בעניין זה:</w:t>
      </w:r>
    </w:p>
    <w:p w:rsidR="005D79FB" w:rsidRDefault="0078394D" w:rsidP="0078394D">
      <w:pPr>
        <w:spacing w:line="360" w:lineRule="auto"/>
        <w:ind w:left="567" w:firstLine="153"/>
        <w:jc w:val="both"/>
        <w:rPr>
          <w:rFonts w:ascii="Arial" w:hAnsi="Arial"/>
          <w:noProof w:val="0"/>
          <w:rtl/>
        </w:rPr>
      </w:pPr>
      <w:r>
        <w:rPr>
          <w:rFonts w:ascii="Arial" w:hAnsi="Arial" w:hint="cs"/>
          <w:noProof w:val="0"/>
          <w:rtl/>
        </w:rPr>
        <w:t xml:space="preserve">ע"פ 1988/94 </w:t>
      </w:r>
      <w:r>
        <w:rPr>
          <w:rFonts w:ascii="Arial" w:hAnsi="Arial" w:hint="cs"/>
          <w:b/>
          <w:bCs/>
          <w:noProof w:val="0"/>
          <w:rtl/>
        </w:rPr>
        <w:t xml:space="preserve"> בראון נ' מדינת ישראל</w:t>
      </w:r>
      <w:r w:rsidR="005D79FB">
        <w:rPr>
          <w:rFonts w:ascii="Arial" w:hAnsi="Arial"/>
          <w:b/>
          <w:bCs/>
          <w:noProof w:val="0"/>
          <w:rtl/>
        </w:rPr>
        <w:t xml:space="preserve">, </w:t>
      </w:r>
      <w:r w:rsidR="005D79FB">
        <w:rPr>
          <w:rFonts w:ascii="Arial" w:hAnsi="Arial"/>
          <w:noProof w:val="0"/>
          <w:rtl/>
        </w:rPr>
        <w:t>פ"ד מח (3) 608.</w:t>
      </w:r>
    </w:p>
    <w:p w:rsidR="005D79FB" w:rsidRDefault="005D79FB" w:rsidP="005D79FB">
      <w:pPr>
        <w:spacing w:line="360" w:lineRule="auto"/>
        <w:ind w:left="567"/>
        <w:jc w:val="both"/>
        <w:rPr>
          <w:rFonts w:ascii="Arial" w:hAnsi="Arial"/>
          <w:noProof w:val="0"/>
          <w:rtl/>
        </w:rPr>
      </w:pPr>
    </w:p>
    <w:p w:rsidR="005D79FB" w:rsidRDefault="005D79FB" w:rsidP="00BB3D56">
      <w:pPr>
        <w:spacing w:line="360" w:lineRule="auto"/>
        <w:ind w:left="720"/>
        <w:jc w:val="both"/>
        <w:rPr>
          <w:rFonts w:ascii="Arial" w:hAnsi="Arial"/>
          <w:noProof w:val="0"/>
          <w:rtl/>
        </w:rPr>
      </w:pPr>
      <w:r>
        <w:rPr>
          <w:rFonts w:ascii="Arial" w:hAnsi="Arial"/>
          <w:noProof w:val="0"/>
          <w:rtl/>
        </w:rPr>
        <w:t xml:space="preserve">וכן בספרו של יגאל מרזל, </w:t>
      </w:r>
      <w:r>
        <w:rPr>
          <w:rFonts w:ascii="Arial" w:hAnsi="Arial"/>
          <w:b/>
          <w:bCs/>
          <w:noProof w:val="0"/>
          <w:rtl/>
        </w:rPr>
        <w:t xml:space="preserve">'דיני פסלות שופט', </w:t>
      </w:r>
      <w:r>
        <w:rPr>
          <w:rFonts w:ascii="Arial" w:hAnsi="Arial"/>
          <w:noProof w:val="0"/>
          <w:rtl/>
        </w:rPr>
        <w:t>ההוצאה לאוד של לשכת עורכי הדין התשס"ו-2006, בעמ' 174-178.</w:t>
      </w:r>
    </w:p>
    <w:p w:rsidR="00BB3D56" w:rsidRDefault="00BB3D56" w:rsidP="00BB3D56">
      <w:pPr>
        <w:spacing w:line="360" w:lineRule="auto"/>
        <w:ind w:firstLine="567"/>
        <w:jc w:val="both"/>
        <w:rPr>
          <w:rFonts w:ascii="Arial" w:hAnsi="Arial"/>
          <w:noProof w:val="0"/>
          <w:rtl/>
        </w:rPr>
      </w:pPr>
    </w:p>
    <w:p w:rsidR="005D79FB" w:rsidRDefault="005D79FB" w:rsidP="00BB3D56">
      <w:pPr>
        <w:spacing w:line="360" w:lineRule="auto"/>
        <w:ind w:firstLine="720"/>
        <w:jc w:val="both"/>
        <w:rPr>
          <w:rFonts w:ascii="Arial" w:hAnsi="Arial"/>
          <w:noProof w:val="0"/>
          <w:rtl/>
        </w:rPr>
      </w:pPr>
      <w:r>
        <w:rPr>
          <w:rFonts w:ascii="Arial" w:hAnsi="Arial"/>
          <w:b/>
          <w:bCs/>
          <w:noProof w:val="0"/>
          <w:rtl/>
        </w:rPr>
        <w:t>ומן הכלל אל הפרט.</w:t>
      </w:r>
    </w:p>
    <w:p w:rsidR="00840093" w:rsidRDefault="00345508" w:rsidP="00BB3D56">
      <w:pPr>
        <w:pStyle w:val="ad"/>
        <w:numPr>
          <w:ilvl w:val="0"/>
          <w:numId w:val="1"/>
        </w:numPr>
        <w:spacing w:line="360" w:lineRule="auto"/>
        <w:jc w:val="both"/>
        <w:rPr>
          <w:rFonts w:ascii="Arial" w:hAnsi="Arial"/>
          <w:noProof w:val="0"/>
        </w:rPr>
      </w:pPr>
      <w:r>
        <w:rPr>
          <w:rFonts w:ascii="Arial" w:hAnsi="Arial" w:hint="cs"/>
          <w:noProof w:val="0"/>
          <w:rtl/>
        </w:rPr>
        <w:t>עיון בבקשה מעלה כי זו הוגשה בעקבות החלטת ביהמ"ש מיום 11.4.24, אשר התייחסה למספר עניינים, הראשון: הגשת בקשות, תגובות והודעות בניגוד לסדרי הדין הנהוגים בביהמ"ש</w:t>
      </w:r>
      <w:r w:rsidR="00840093">
        <w:rPr>
          <w:rFonts w:ascii="Arial" w:hAnsi="Arial" w:hint="cs"/>
          <w:noProof w:val="0"/>
          <w:rtl/>
        </w:rPr>
        <w:t xml:space="preserve">, השני: טיפול רגשי לקטינה המשותפת, והשלישי: הערת ביהמ"ש בדבר טענות המבקשת שהובאו במסגרת תגובתה והתייחסותה להתמכרותה לאלכוהול. </w:t>
      </w:r>
    </w:p>
    <w:p w:rsidR="00BB3D56" w:rsidRDefault="00345508" w:rsidP="00BB3D56">
      <w:pPr>
        <w:pStyle w:val="ad"/>
        <w:numPr>
          <w:ilvl w:val="0"/>
          <w:numId w:val="1"/>
        </w:numPr>
        <w:spacing w:line="360" w:lineRule="auto"/>
        <w:jc w:val="both"/>
        <w:rPr>
          <w:rFonts w:ascii="Arial" w:hAnsi="Arial"/>
          <w:noProof w:val="0"/>
        </w:rPr>
      </w:pPr>
      <w:r>
        <w:rPr>
          <w:rFonts w:ascii="Arial" w:hAnsi="Arial" w:hint="cs"/>
          <w:noProof w:val="0"/>
          <w:rtl/>
        </w:rPr>
        <w:t xml:space="preserve"> </w:t>
      </w:r>
      <w:r w:rsidR="00840093">
        <w:rPr>
          <w:rFonts w:ascii="Arial" w:hAnsi="Arial" w:hint="cs"/>
          <w:noProof w:val="0"/>
          <w:rtl/>
        </w:rPr>
        <w:t>ביהמ"ש העיר</w:t>
      </w:r>
      <w:r w:rsidR="008A0A18">
        <w:rPr>
          <w:rFonts w:ascii="Arial" w:hAnsi="Arial" w:hint="cs"/>
          <w:noProof w:val="0"/>
          <w:rtl/>
        </w:rPr>
        <w:t>,</w:t>
      </w:r>
      <w:r w:rsidR="00840093">
        <w:rPr>
          <w:rFonts w:ascii="Arial" w:hAnsi="Arial" w:hint="cs"/>
          <w:noProof w:val="0"/>
          <w:rtl/>
        </w:rPr>
        <w:t xml:space="preserve"> ובמסגרת מספר החלטות קודמות</w:t>
      </w:r>
      <w:r w:rsidR="00F9741B">
        <w:rPr>
          <w:rFonts w:ascii="Arial" w:hAnsi="Arial" w:hint="cs"/>
          <w:noProof w:val="0"/>
          <w:rtl/>
        </w:rPr>
        <w:t xml:space="preserve"> לזו מיום 11.4.24</w:t>
      </w:r>
      <w:r w:rsidR="00840093">
        <w:rPr>
          <w:rFonts w:ascii="Arial" w:hAnsi="Arial" w:hint="cs"/>
          <w:noProof w:val="0"/>
          <w:rtl/>
        </w:rPr>
        <w:t>, כי על המבקשת להגיש בקשותיה ותגובותיה בהתאם לסדרי הדין</w:t>
      </w:r>
      <w:r w:rsidR="008A0A18">
        <w:rPr>
          <w:rFonts w:ascii="Arial" w:hAnsi="Arial" w:hint="cs"/>
          <w:noProof w:val="0"/>
          <w:rtl/>
        </w:rPr>
        <w:t>. חרף הערות ביהמ"ש, המשיכה המבקשת להגיש תגובותיה ובקשותיה בניגוד לסדר הדין ותקנות ביהמ"ש</w:t>
      </w:r>
      <w:r w:rsidR="00F9741B">
        <w:rPr>
          <w:rFonts w:ascii="Arial" w:hAnsi="Arial" w:hint="cs"/>
          <w:noProof w:val="0"/>
          <w:rtl/>
        </w:rPr>
        <w:t>,</w:t>
      </w:r>
      <w:r w:rsidR="008A0A18">
        <w:rPr>
          <w:rFonts w:ascii="Arial" w:hAnsi="Arial" w:hint="cs"/>
          <w:noProof w:val="0"/>
          <w:rtl/>
        </w:rPr>
        <w:t xml:space="preserve"> ואף הגדילה לעשות עת הגישה </w:t>
      </w:r>
      <w:r w:rsidR="008A0A18">
        <w:rPr>
          <w:rFonts w:ascii="Arial" w:hAnsi="Arial" w:hint="cs"/>
          <w:noProof w:val="0"/>
          <w:rtl/>
        </w:rPr>
        <w:lastRenderedPageBreak/>
        <w:t>מטעמה תגובות להחלטות ומבלי שהתבקשה תגובה ולאחר שביהמ"ש הכריע בשאלה שהובאה בפניו. סמכותו של ביהמ"ש בעניינים ספציפיים אלו, ובפרט כאשר עסקינן בעניינים שבסדרי דין בוודאי שאינם יכולים לחסות בצל בקשה זו</w:t>
      </w:r>
      <w:r w:rsidR="00F9741B">
        <w:rPr>
          <w:rFonts w:ascii="Arial" w:hAnsi="Arial" w:hint="cs"/>
          <w:noProof w:val="0"/>
          <w:rtl/>
        </w:rPr>
        <w:t>,</w:t>
      </w:r>
      <w:r w:rsidR="008A0A18">
        <w:rPr>
          <w:rFonts w:ascii="Arial" w:hAnsi="Arial" w:hint="cs"/>
          <w:noProof w:val="0"/>
          <w:rtl/>
        </w:rPr>
        <w:t xml:space="preserve"> ואין </w:t>
      </w:r>
      <w:r w:rsidR="00F9741B">
        <w:rPr>
          <w:rFonts w:ascii="Arial" w:hAnsi="Arial" w:hint="cs"/>
          <w:noProof w:val="0"/>
          <w:rtl/>
        </w:rPr>
        <w:t>בהחלטות פרוצדורליות כגון אלו</w:t>
      </w:r>
      <w:r w:rsidR="008A0A18">
        <w:rPr>
          <w:rFonts w:ascii="Arial" w:hAnsi="Arial" w:hint="cs"/>
          <w:noProof w:val="0"/>
          <w:rtl/>
        </w:rPr>
        <w:t xml:space="preserve"> על מנת להביא לחשש ממשוא פנים קל וחומר למשוא פנים.</w:t>
      </w:r>
    </w:p>
    <w:p w:rsidR="008A0A18" w:rsidRDefault="008A0A18" w:rsidP="00EC1FAA">
      <w:pPr>
        <w:pStyle w:val="ad"/>
        <w:numPr>
          <w:ilvl w:val="0"/>
          <w:numId w:val="1"/>
        </w:numPr>
        <w:spacing w:line="360" w:lineRule="auto"/>
        <w:jc w:val="both"/>
        <w:rPr>
          <w:rFonts w:ascii="Arial" w:hAnsi="Arial"/>
          <w:noProof w:val="0"/>
        </w:rPr>
      </w:pPr>
      <w:r>
        <w:rPr>
          <w:rFonts w:ascii="Arial" w:hAnsi="Arial" w:hint="cs"/>
          <w:noProof w:val="0"/>
          <w:rtl/>
        </w:rPr>
        <w:t xml:space="preserve">החלטת ביהמ"ש בדבר טיפול רגשי לקטינה הוכרע עוד </w:t>
      </w:r>
      <w:r w:rsidR="005967C7">
        <w:rPr>
          <w:rFonts w:ascii="Arial" w:hAnsi="Arial" w:hint="cs"/>
          <w:noProof w:val="0"/>
          <w:rtl/>
        </w:rPr>
        <w:t xml:space="preserve">טרם הדיון שהתקיים </w:t>
      </w:r>
      <w:r>
        <w:rPr>
          <w:rFonts w:ascii="Arial" w:hAnsi="Arial" w:hint="cs"/>
          <w:noProof w:val="0"/>
          <w:rtl/>
        </w:rPr>
        <w:t>ביום 1</w:t>
      </w:r>
      <w:r w:rsidR="00A20D51">
        <w:rPr>
          <w:rFonts w:ascii="Arial" w:hAnsi="Arial" w:hint="cs"/>
          <w:noProof w:val="0"/>
          <w:rtl/>
        </w:rPr>
        <w:t>2.3.24,</w:t>
      </w:r>
      <w:r w:rsidR="005967C7">
        <w:rPr>
          <w:rFonts w:ascii="Arial" w:hAnsi="Arial" w:hint="cs"/>
          <w:noProof w:val="0"/>
          <w:rtl/>
        </w:rPr>
        <w:t xml:space="preserve"> ובמסגרת הדיון הוכרע המשך הטיפול ומימונו בהסכמת הצדדים</w:t>
      </w:r>
      <w:r w:rsidR="00A20D51">
        <w:rPr>
          <w:rFonts w:ascii="Arial" w:hAnsi="Arial" w:hint="cs"/>
          <w:noProof w:val="0"/>
          <w:rtl/>
        </w:rPr>
        <w:t>. העובדה שהמבקשת אי</w:t>
      </w:r>
      <w:r w:rsidR="00EC1FAA">
        <w:rPr>
          <w:rFonts w:ascii="Arial" w:hAnsi="Arial" w:hint="cs"/>
          <w:noProof w:val="0"/>
          <w:rtl/>
        </w:rPr>
        <w:t xml:space="preserve">נה מקבלת את הכרעת ביהמ"ש ומבקשת </w:t>
      </w:r>
      <w:r w:rsidR="00A20D51">
        <w:rPr>
          <w:rFonts w:ascii="Arial" w:hAnsi="Arial" w:hint="cs"/>
          <w:noProof w:val="0"/>
          <w:rtl/>
        </w:rPr>
        <w:t>לדון בעניין זה שוב ושוב, חרף כי ביהמ"ש דן והכריע בעניין זה, אין בה כדי להביא למשוא פנים או לחשש ממשוא</w:t>
      </w:r>
      <w:r w:rsidR="00EC1FAA">
        <w:rPr>
          <w:rFonts w:ascii="Arial" w:hAnsi="Arial" w:hint="cs"/>
          <w:noProof w:val="0"/>
          <w:rtl/>
        </w:rPr>
        <w:t xml:space="preserve"> פנים. כ</w:t>
      </w:r>
      <w:r w:rsidR="005967C7">
        <w:rPr>
          <w:rFonts w:ascii="Arial" w:hAnsi="Arial" w:hint="cs"/>
          <w:noProof w:val="0"/>
          <w:rtl/>
        </w:rPr>
        <w:t>כל והמבקשת סברה כי החלטת ביהמ"ש</w:t>
      </w:r>
      <w:r w:rsidR="00A20D51">
        <w:rPr>
          <w:rFonts w:ascii="Arial" w:hAnsi="Arial" w:hint="cs"/>
          <w:noProof w:val="0"/>
          <w:rtl/>
        </w:rPr>
        <w:t xml:space="preserve"> שגויה דרכה להגשת ערעור פתוחה בפניה ומשלא עשתה כן</w:t>
      </w:r>
      <w:r w:rsidR="00EC1FAA">
        <w:rPr>
          <w:rFonts w:ascii="Arial" w:hAnsi="Arial" w:hint="cs"/>
          <w:noProof w:val="0"/>
          <w:rtl/>
        </w:rPr>
        <w:t>,</w:t>
      </w:r>
      <w:r w:rsidR="00A20D51">
        <w:rPr>
          <w:rFonts w:ascii="Arial" w:hAnsi="Arial" w:hint="cs"/>
          <w:noProof w:val="0"/>
          <w:rtl/>
        </w:rPr>
        <w:t xml:space="preserve"> עליה לפעול בהתאם להחלטה</w:t>
      </w:r>
      <w:r w:rsidR="005967C7">
        <w:rPr>
          <w:rFonts w:ascii="Arial" w:hAnsi="Arial" w:hint="cs"/>
          <w:noProof w:val="0"/>
          <w:rtl/>
        </w:rPr>
        <w:t>,</w:t>
      </w:r>
      <w:r w:rsidR="00A20D51">
        <w:rPr>
          <w:rFonts w:ascii="Arial" w:hAnsi="Arial" w:hint="cs"/>
          <w:noProof w:val="0"/>
          <w:rtl/>
        </w:rPr>
        <w:t xml:space="preserve"> ולא לפעול בדרך זו של הגשת בקשה לפסלות </w:t>
      </w:r>
      <w:r w:rsidR="00D5628B">
        <w:rPr>
          <w:rFonts w:ascii="Arial" w:hAnsi="Arial" w:hint="cs"/>
          <w:noProof w:val="0"/>
          <w:rtl/>
        </w:rPr>
        <w:t>בניסיון לעקוף החלטות שיפוטיות.</w:t>
      </w:r>
    </w:p>
    <w:p w:rsidR="00D45535" w:rsidRDefault="00D5628B" w:rsidP="00BB3D56">
      <w:pPr>
        <w:pStyle w:val="ad"/>
        <w:numPr>
          <w:ilvl w:val="0"/>
          <w:numId w:val="1"/>
        </w:numPr>
        <w:spacing w:line="360" w:lineRule="auto"/>
        <w:jc w:val="both"/>
        <w:rPr>
          <w:rFonts w:ascii="Arial" w:hAnsi="Arial"/>
          <w:noProof w:val="0"/>
        </w:rPr>
      </w:pPr>
      <w:r>
        <w:rPr>
          <w:rFonts w:ascii="Arial" w:hAnsi="Arial" w:hint="cs"/>
          <w:noProof w:val="0"/>
          <w:rtl/>
        </w:rPr>
        <w:t>העניין השלישי, שככל הנראה ה</w:t>
      </w:r>
      <w:r w:rsidR="00EC1FAA">
        <w:rPr>
          <w:rFonts w:ascii="Arial" w:hAnsi="Arial" w:hint="cs"/>
          <w:noProof w:val="0"/>
          <w:rtl/>
        </w:rPr>
        <w:t>וא שה</w:t>
      </w:r>
      <w:r>
        <w:rPr>
          <w:rFonts w:ascii="Arial" w:hAnsi="Arial" w:hint="cs"/>
          <w:noProof w:val="0"/>
          <w:rtl/>
        </w:rPr>
        <w:t xml:space="preserve">ביא המבקשת להגשת הבקשה, עוסק בהערת ביהמ"ש למבקשת באשר לגישתה </w:t>
      </w:r>
      <w:r w:rsidR="00362D6A">
        <w:rPr>
          <w:rFonts w:ascii="Arial" w:hAnsi="Arial" w:hint="cs"/>
          <w:noProof w:val="0"/>
          <w:rtl/>
        </w:rPr>
        <w:t>בכל הקשור לסוגיית התמכרותה לאלכוהול וכפי שהובאה במסגרת בקשות ותגובת מטעמה. שם ניכר כי המבקשת סבורה כי אין עוד מקום לעסוק בעניין זה, כי האשמה בהתמכרות האמורה נעוצה במשיב</w:t>
      </w:r>
      <w:r w:rsidR="00D45535">
        <w:rPr>
          <w:rFonts w:ascii="Arial" w:hAnsi="Arial" w:hint="cs"/>
          <w:noProof w:val="0"/>
          <w:rtl/>
        </w:rPr>
        <w:t>. יש לציין, כי החלטה זו נתנה ברקע טענות נוספות של המבקשת שהובאו במסגרת הליך זה בהן נטען כי האם נקייה מאלכוהול הגם שההודעה נמסרה ע"י באת כוחה כמי שמפקחת על עניין זה.</w:t>
      </w:r>
    </w:p>
    <w:p w:rsidR="00EF5F33" w:rsidRDefault="00D45535" w:rsidP="00BB3D56">
      <w:pPr>
        <w:pStyle w:val="ad"/>
        <w:numPr>
          <w:ilvl w:val="0"/>
          <w:numId w:val="1"/>
        </w:numPr>
        <w:spacing w:line="360" w:lineRule="auto"/>
        <w:jc w:val="both"/>
        <w:rPr>
          <w:rFonts w:ascii="Arial" w:hAnsi="Arial"/>
          <w:noProof w:val="0"/>
        </w:rPr>
      </w:pPr>
      <w:r>
        <w:rPr>
          <w:rFonts w:ascii="Arial" w:hAnsi="Arial" w:hint="cs"/>
          <w:noProof w:val="0"/>
          <w:rtl/>
        </w:rPr>
        <w:t>כפי שפרטתי לעיל ובהרחבה את ההליכים שהתקיימו בפני, הרי שבתיק זה הוגשו תסקירים (מטעם העו"ס ל</w:t>
      </w:r>
      <w:r w:rsidR="00C01005">
        <w:rPr>
          <w:rFonts w:ascii="Arial" w:hAnsi="Arial" w:hint="cs"/>
          <w:noProof w:val="0"/>
          <w:rtl/>
        </w:rPr>
        <w:t>ס"ד והעו"ס לחוק נוער), ודיווחים מטעם האפוטרופא לדין. מסגרת דיווחים אלו עלה ובאופן תמידי עניין התמכרות המבקשת לאלכוהול</w:t>
      </w:r>
      <w:r w:rsidR="00EF5F33">
        <w:rPr>
          <w:rFonts w:ascii="Arial" w:hAnsi="Arial" w:hint="cs"/>
          <w:noProof w:val="0"/>
          <w:rtl/>
        </w:rPr>
        <w:t>.</w:t>
      </w:r>
    </w:p>
    <w:p w:rsidR="008C3B96" w:rsidRDefault="00EF5F33" w:rsidP="008916F7">
      <w:pPr>
        <w:pStyle w:val="ad"/>
        <w:numPr>
          <w:ilvl w:val="0"/>
          <w:numId w:val="1"/>
        </w:numPr>
        <w:spacing w:line="360" w:lineRule="auto"/>
        <w:jc w:val="both"/>
        <w:rPr>
          <w:rFonts w:ascii="Arial" w:hAnsi="Arial"/>
          <w:noProof w:val="0"/>
        </w:rPr>
      </w:pPr>
      <w:r>
        <w:rPr>
          <w:rFonts w:ascii="Arial" w:hAnsi="Arial" w:hint="cs"/>
          <w:noProof w:val="0"/>
          <w:rtl/>
        </w:rPr>
        <w:t xml:space="preserve">עוד טרם תחילת ההליכים בין הצדדים, נפתחו על ידי המשיב שני תיקי ה"ט שפרטיהם לעיל. במסגרת הליכים אלו, </w:t>
      </w:r>
      <w:r w:rsidR="008E0EAD">
        <w:rPr>
          <w:rFonts w:ascii="Arial" w:hAnsi="Arial" w:hint="cs"/>
          <w:noProof w:val="0"/>
          <w:rtl/>
        </w:rPr>
        <w:t xml:space="preserve">עלתה ובאופן חד משמעי בעיית האלכוהול של המבקשת ואף התחייבותה לקבלת טיפול. המבקשת הודתה באופן ברור בהתפרצויות זעם וחשיפת הקטינה לעניינים אלו, כמו כן, במסגרת תסקיר שהוגש </w:t>
      </w:r>
      <w:r w:rsidR="00CA3759">
        <w:rPr>
          <w:rFonts w:ascii="Arial" w:hAnsi="Arial" w:hint="cs"/>
          <w:noProof w:val="0"/>
          <w:rtl/>
        </w:rPr>
        <w:t xml:space="preserve">ביום 2.6.2023 </w:t>
      </w:r>
      <w:r w:rsidR="008E0EAD">
        <w:rPr>
          <w:rFonts w:ascii="Arial" w:hAnsi="Arial" w:hint="cs"/>
          <w:noProof w:val="0"/>
          <w:rtl/>
        </w:rPr>
        <w:t>בתיק הה"ט</w:t>
      </w:r>
      <w:r w:rsidR="008916F7">
        <w:rPr>
          <w:rFonts w:ascii="Arial" w:hAnsi="Arial" w:hint="cs"/>
          <w:noProof w:val="0"/>
          <w:rtl/>
        </w:rPr>
        <w:t xml:space="preserve"> </w:t>
      </w:r>
      <w:r w:rsidR="008916F7">
        <w:rPr>
          <w:rFonts w:ascii="David" w:hAnsi="David" w:hint="cs"/>
          <w:noProof w:val="0"/>
          <w:rtl/>
        </w:rPr>
        <w:t>70078-05-23</w:t>
      </w:r>
      <w:r w:rsidR="00CA3759">
        <w:rPr>
          <w:rFonts w:ascii="Arial" w:hAnsi="Arial" w:hint="cs"/>
          <w:noProof w:val="0"/>
          <w:rtl/>
        </w:rPr>
        <w:t xml:space="preserve"> נרשם כי העו"ס התרשמה שהמבקשת מקטינה את חומרת מצבה בעקבות השימוש באלכוהול</w:t>
      </w:r>
      <w:r w:rsidR="008C3B96">
        <w:rPr>
          <w:rFonts w:ascii="Arial" w:hAnsi="Arial" w:hint="cs"/>
          <w:noProof w:val="0"/>
          <w:rtl/>
        </w:rPr>
        <w:t xml:space="preserve">, ובתסקיר שהוגש ביום 3.7.2023 נרשם כי המבקשת נמצאת בשלב התחלתי של שיקום וגמילה ומשתפת פעולה עם גורמי הטיפול. </w:t>
      </w:r>
    </w:p>
    <w:p w:rsidR="0083702B" w:rsidRDefault="008C3B96" w:rsidP="008916F7">
      <w:pPr>
        <w:pStyle w:val="ad"/>
        <w:numPr>
          <w:ilvl w:val="0"/>
          <w:numId w:val="1"/>
        </w:numPr>
        <w:spacing w:line="360" w:lineRule="auto"/>
        <w:jc w:val="both"/>
        <w:rPr>
          <w:rFonts w:ascii="Arial" w:hAnsi="Arial"/>
          <w:noProof w:val="0"/>
        </w:rPr>
      </w:pPr>
      <w:r>
        <w:rPr>
          <w:rFonts w:ascii="Arial" w:hAnsi="Arial" w:hint="cs"/>
          <w:noProof w:val="0"/>
          <w:rtl/>
        </w:rPr>
        <w:t xml:space="preserve">לאחר פתיחתו של ההליך בעניינה של הקטינה בתיק זה (תלה"מ </w:t>
      </w:r>
      <w:r w:rsidR="008916F7">
        <w:rPr>
          <w:rFonts w:ascii="David" w:hAnsi="David"/>
          <w:noProof w:val="0"/>
        </w:rPr>
        <w:t>15866-08-23</w:t>
      </w:r>
      <w:r w:rsidR="008916F7">
        <w:rPr>
          <w:rFonts w:ascii="David" w:hAnsi="David" w:hint="cs"/>
          <w:noProof w:val="0"/>
          <w:rtl/>
        </w:rPr>
        <w:t>),</w:t>
      </w:r>
      <w:r>
        <w:rPr>
          <w:rFonts w:ascii="Arial" w:hAnsi="Arial" w:hint="cs"/>
          <w:noProof w:val="0"/>
          <w:rtl/>
        </w:rPr>
        <w:t xml:space="preserve"> הוגש ביום 11.9.2023 דיווח מטעם העו"ס לחוק נוער ובהתאם להחלטתי, במסגרתו דיווחה העו"ס כי בשיחה שערכה בחודש </w:t>
      </w:r>
      <w:r w:rsidR="0083702B">
        <w:rPr>
          <w:rFonts w:ascii="Arial" w:hAnsi="Arial" w:hint="cs"/>
          <w:noProof w:val="0"/>
          <w:rtl/>
        </w:rPr>
        <w:t>ספטמבר 2023 עם העו"ס התמכרויות המטפל במבקשת, כי המבקשת נמצאת בתחילתו של הטיפול ניכר כי המבקשת נמצאת בהכחשה קשה מאוד</w:t>
      </w:r>
      <w:r w:rsidR="005967C7">
        <w:rPr>
          <w:rFonts w:ascii="Arial" w:hAnsi="Arial" w:hint="cs"/>
          <w:noProof w:val="0"/>
          <w:rtl/>
        </w:rPr>
        <w:t>,</w:t>
      </w:r>
      <w:r w:rsidR="0083702B">
        <w:rPr>
          <w:rFonts w:ascii="Arial" w:hAnsi="Arial" w:hint="cs"/>
          <w:noProof w:val="0"/>
          <w:rtl/>
        </w:rPr>
        <w:t xml:space="preserve"> מניפולטיבית </w:t>
      </w:r>
      <w:r w:rsidR="0083702B">
        <w:rPr>
          <w:rFonts w:ascii="Arial" w:hAnsi="Arial" w:hint="cs"/>
          <w:noProof w:val="0"/>
          <w:rtl/>
        </w:rPr>
        <w:lastRenderedPageBreak/>
        <w:t xml:space="preserve">ואינה מתמסרת להליך הטיפולי וציינה כי נראה שהמבקשת מגיעה לטיפול בהמלצת באת כוחה על מנת שתוכל לשמור על קשר עם ביתה. </w:t>
      </w:r>
    </w:p>
    <w:p w:rsidR="00D5628B" w:rsidRDefault="0083702B" w:rsidP="00671D10">
      <w:pPr>
        <w:pStyle w:val="ad"/>
        <w:numPr>
          <w:ilvl w:val="0"/>
          <w:numId w:val="1"/>
        </w:numPr>
        <w:spacing w:line="360" w:lineRule="auto"/>
        <w:jc w:val="both"/>
        <w:rPr>
          <w:rFonts w:ascii="Arial" w:hAnsi="Arial"/>
          <w:noProof w:val="0"/>
        </w:rPr>
      </w:pPr>
      <w:r>
        <w:rPr>
          <w:rFonts w:ascii="Arial" w:hAnsi="Arial" w:hint="cs"/>
          <w:noProof w:val="0"/>
          <w:rtl/>
        </w:rPr>
        <w:t xml:space="preserve">בתסקיר שהוגש ביום 11.3.2024 </w:t>
      </w:r>
      <w:r w:rsidR="00671D10">
        <w:rPr>
          <w:rFonts w:ascii="Arial" w:hAnsi="Arial" w:hint="cs"/>
          <w:noProof w:val="0"/>
          <w:rtl/>
        </w:rPr>
        <w:t xml:space="preserve">נרשם כי מידת שיתוף הפעולה של המבקשת עם ההליך הטיפולי בתחנה לגמילה מאלכוהול תיבחן בעוד כשישה חודשים ויוגש תסקיר משלים. </w:t>
      </w:r>
    </w:p>
    <w:p w:rsidR="00671D10" w:rsidRDefault="00671D10" w:rsidP="00730923">
      <w:pPr>
        <w:pStyle w:val="ad"/>
        <w:numPr>
          <w:ilvl w:val="0"/>
          <w:numId w:val="1"/>
        </w:numPr>
        <w:spacing w:line="360" w:lineRule="auto"/>
        <w:jc w:val="both"/>
        <w:rPr>
          <w:rFonts w:ascii="Arial" w:hAnsi="Arial"/>
          <w:noProof w:val="0"/>
        </w:rPr>
      </w:pPr>
      <w:r>
        <w:rPr>
          <w:rFonts w:ascii="Arial" w:hAnsi="Arial" w:hint="cs"/>
          <w:noProof w:val="0"/>
          <w:rtl/>
        </w:rPr>
        <w:t xml:space="preserve">בקשות ותגובות שהוגשו מטעם המבקשת, בתקופה שבין הגשת התסקירים האמורים ודיווח מטעם העו"ס לחוק נוער ואף לאחר הגשתם, ציירו מצג של המשך התכחשות האם למצבה ולצורך בקבלת </w:t>
      </w:r>
      <w:r w:rsidR="006F66F0">
        <w:rPr>
          <w:rFonts w:ascii="Arial" w:hAnsi="Arial" w:hint="cs"/>
          <w:noProof w:val="0"/>
          <w:rtl/>
        </w:rPr>
        <w:t>ה</w:t>
      </w:r>
      <w:r>
        <w:rPr>
          <w:rFonts w:ascii="Arial" w:hAnsi="Arial" w:hint="cs"/>
          <w:noProof w:val="0"/>
          <w:rtl/>
        </w:rPr>
        <w:t xml:space="preserve">טיפול </w:t>
      </w:r>
      <w:r w:rsidR="006F66F0">
        <w:rPr>
          <w:rFonts w:ascii="Arial" w:hAnsi="Arial" w:hint="cs"/>
          <w:noProof w:val="0"/>
          <w:rtl/>
        </w:rPr>
        <w:t xml:space="preserve">בהתמכרות, </w:t>
      </w:r>
      <w:r>
        <w:rPr>
          <w:rFonts w:ascii="Arial" w:hAnsi="Arial" w:hint="cs"/>
          <w:noProof w:val="0"/>
          <w:rtl/>
        </w:rPr>
        <w:t>טפילת האשמה באחרים ושימוש ב</w:t>
      </w:r>
      <w:r w:rsidR="00730923">
        <w:rPr>
          <w:rFonts w:ascii="Arial" w:hAnsi="Arial" w:hint="cs"/>
          <w:noProof w:val="0"/>
          <w:rtl/>
        </w:rPr>
        <w:t xml:space="preserve">ניסוח פוגעני </w:t>
      </w:r>
      <w:r w:rsidR="006F66F0">
        <w:rPr>
          <w:rFonts w:ascii="Arial" w:hAnsi="Arial" w:hint="cs"/>
          <w:noProof w:val="0"/>
          <w:rtl/>
        </w:rPr>
        <w:t>וחריג ו</w:t>
      </w:r>
      <w:r>
        <w:rPr>
          <w:rFonts w:ascii="Arial" w:hAnsi="Arial" w:hint="cs"/>
          <w:noProof w:val="0"/>
          <w:rtl/>
        </w:rPr>
        <w:t xml:space="preserve">שאינו מקובל במסגרת כתבי בי דין </w:t>
      </w:r>
      <w:r w:rsidR="006F66F0">
        <w:rPr>
          <w:rFonts w:ascii="Arial" w:hAnsi="Arial" w:hint="cs"/>
          <w:noProof w:val="0"/>
          <w:rtl/>
        </w:rPr>
        <w:t>מטעמה.</w:t>
      </w:r>
      <w:r w:rsidR="00730923">
        <w:rPr>
          <w:rFonts w:ascii="Arial" w:hAnsi="Arial" w:hint="cs"/>
          <w:noProof w:val="0"/>
          <w:rtl/>
        </w:rPr>
        <w:t xml:space="preserve"> משכך ניתנה החלטה מיום 11.4.2024 במסגרתה נרשמה אותה ההערה למבקשת וזו בהסתמך על תסקירים מטעם העו"ס לס"ד, דיווח מטעם האפוטרופא לדין, דיווח מטעם העו"ס לחוק נוער שבמסגרתו אף התקבל דיווח מטעם העו"ס להתמכרויות המטפל במבקשת. </w:t>
      </w:r>
    </w:p>
    <w:p w:rsidR="00730923" w:rsidRDefault="00730923" w:rsidP="00F96C45">
      <w:pPr>
        <w:pStyle w:val="ad"/>
        <w:numPr>
          <w:ilvl w:val="0"/>
          <w:numId w:val="1"/>
        </w:numPr>
        <w:spacing w:line="360" w:lineRule="auto"/>
        <w:jc w:val="both"/>
        <w:rPr>
          <w:rFonts w:ascii="Arial" w:hAnsi="Arial"/>
          <w:noProof w:val="0"/>
        </w:rPr>
      </w:pPr>
      <w:r>
        <w:rPr>
          <w:rFonts w:ascii="Arial" w:hAnsi="Arial" w:hint="cs"/>
          <w:noProof w:val="0"/>
          <w:rtl/>
        </w:rPr>
        <w:t>הינה כי כן, אין מדובר בדעה בה אוחז בית המשפט בעניינה של המבקשת</w:t>
      </w:r>
      <w:r w:rsidR="006F66F0">
        <w:rPr>
          <w:rFonts w:ascii="Arial" w:hAnsi="Arial" w:hint="cs"/>
          <w:noProof w:val="0"/>
          <w:rtl/>
        </w:rPr>
        <w:t>,</w:t>
      </w:r>
      <w:r>
        <w:rPr>
          <w:rFonts w:ascii="Arial" w:hAnsi="Arial" w:hint="cs"/>
          <w:noProof w:val="0"/>
          <w:rtl/>
        </w:rPr>
        <w:t xml:space="preserve"> אלא בעניינים עובדתיים העולים מהליכי הה"ט שנוהלו בפני בית המשפט</w:t>
      </w:r>
      <w:r w:rsidR="006F66F0">
        <w:rPr>
          <w:rFonts w:ascii="Arial" w:hAnsi="Arial" w:hint="cs"/>
          <w:noProof w:val="0"/>
          <w:rtl/>
        </w:rPr>
        <w:t xml:space="preserve"> והודאת המבקשת בדבר התמכרותה</w:t>
      </w:r>
      <w:r>
        <w:rPr>
          <w:rFonts w:ascii="Arial" w:hAnsi="Arial" w:hint="cs"/>
          <w:noProof w:val="0"/>
          <w:rtl/>
        </w:rPr>
        <w:t>, תסקירים ודיווחים שהוגשו</w:t>
      </w:r>
      <w:r w:rsidR="00F96C45">
        <w:rPr>
          <w:rFonts w:ascii="Arial" w:hAnsi="Arial" w:hint="cs"/>
          <w:noProof w:val="0"/>
          <w:rtl/>
        </w:rPr>
        <w:t xml:space="preserve"> בהליכים אלו ובהליך זה, כאשר החלטת בית המשפט מגיעה על רקע אלו וכן על רקע תגובות ובקשות מוגשות על ידי המבקשת המצביעות </w:t>
      </w:r>
      <w:r w:rsidR="006F66F0">
        <w:rPr>
          <w:rFonts w:ascii="Arial" w:hAnsi="Arial" w:hint="cs"/>
          <w:noProof w:val="0"/>
          <w:rtl/>
        </w:rPr>
        <w:t xml:space="preserve">באופן ברור </w:t>
      </w:r>
      <w:r w:rsidR="00F96C45">
        <w:rPr>
          <w:rFonts w:ascii="Arial" w:hAnsi="Arial" w:hint="cs"/>
          <w:noProof w:val="0"/>
          <w:rtl/>
        </w:rPr>
        <w:t>על התכחשות למצבה והאשמת צדדים שלישים כגון</w:t>
      </w:r>
      <w:r w:rsidR="006F66F0">
        <w:rPr>
          <w:rFonts w:ascii="Arial" w:hAnsi="Arial" w:hint="cs"/>
          <w:noProof w:val="0"/>
          <w:rtl/>
        </w:rPr>
        <w:t>: המשיב והאשמת המערכת כולה במצבה, לרבות העו"סים ובית המשפט.</w:t>
      </w:r>
      <w:r w:rsidR="00F96C45">
        <w:rPr>
          <w:rFonts w:ascii="Arial" w:hAnsi="Arial" w:hint="cs"/>
          <w:noProof w:val="0"/>
          <w:rtl/>
        </w:rPr>
        <w:t xml:space="preserve"> </w:t>
      </w:r>
    </w:p>
    <w:p w:rsidR="002A4009" w:rsidRDefault="00F96C45" w:rsidP="006F66F0">
      <w:pPr>
        <w:pStyle w:val="ad"/>
        <w:numPr>
          <w:ilvl w:val="0"/>
          <w:numId w:val="1"/>
        </w:numPr>
        <w:spacing w:line="360" w:lineRule="auto"/>
        <w:jc w:val="both"/>
        <w:rPr>
          <w:rFonts w:ascii="Arial" w:hAnsi="Arial"/>
          <w:noProof w:val="0"/>
        </w:rPr>
      </w:pPr>
      <w:r>
        <w:rPr>
          <w:rFonts w:ascii="Arial" w:hAnsi="Arial" w:hint="cs"/>
          <w:noProof w:val="0"/>
          <w:rtl/>
        </w:rPr>
        <w:t xml:space="preserve">מצאתי לציין כי במסגרת החלטתי זו, מיום 11.4.2024, </w:t>
      </w:r>
      <w:r w:rsidR="006F66F0">
        <w:rPr>
          <w:rFonts w:ascii="Arial" w:hAnsi="Arial" w:hint="cs"/>
          <w:noProof w:val="0"/>
          <w:rtl/>
        </w:rPr>
        <w:t>נרשם</w:t>
      </w:r>
      <w:r>
        <w:rPr>
          <w:rFonts w:ascii="Arial" w:hAnsi="Arial" w:hint="cs"/>
          <w:noProof w:val="0"/>
          <w:rtl/>
        </w:rPr>
        <w:t xml:space="preserve"> ובאופן מפו</w:t>
      </w:r>
      <w:r w:rsidR="002A4009">
        <w:rPr>
          <w:rFonts w:ascii="Arial" w:hAnsi="Arial" w:hint="cs"/>
          <w:noProof w:val="0"/>
          <w:rtl/>
        </w:rPr>
        <w:t xml:space="preserve">רש כי בית המשפט שמח לנוכח התקדמות המבקשת בהליך הטיפולי וכי כיום המבקשת נקייה מאלכוהול תוך שבית המשפט מבהיר כי ההליך הטיפולי והצורך למתן טיפול הקטינה נובע </w:t>
      </w:r>
      <w:r w:rsidR="006F66F0">
        <w:rPr>
          <w:rFonts w:ascii="Arial" w:hAnsi="Arial" w:hint="cs"/>
          <w:noProof w:val="0"/>
          <w:rtl/>
        </w:rPr>
        <w:t xml:space="preserve">נוכח </w:t>
      </w:r>
      <w:r w:rsidR="002A4009">
        <w:rPr>
          <w:rFonts w:ascii="Arial" w:hAnsi="Arial" w:hint="cs"/>
          <w:noProof w:val="0"/>
          <w:rtl/>
        </w:rPr>
        <w:t>מצבים ואירועים אליהם נחשפה הקטינה וכי בית המשפט לא מצא להורות על ביטול ההחלטה למתן הטיפול הרגשי לקטינה.</w:t>
      </w:r>
    </w:p>
    <w:p w:rsidR="0022232B" w:rsidRDefault="002A4009" w:rsidP="008916F7">
      <w:pPr>
        <w:pStyle w:val="ad"/>
        <w:numPr>
          <w:ilvl w:val="0"/>
          <w:numId w:val="1"/>
        </w:numPr>
        <w:spacing w:line="360" w:lineRule="auto"/>
        <w:jc w:val="both"/>
        <w:rPr>
          <w:rFonts w:ascii="Arial" w:hAnsi="Arial"/>
          <w:noProof w:val="0"/>
        </w:rPr>
      </w:pPr>
      <w:r>
        <w:rPr>
          <w:rFonts w:ascii="Arial" w:hAnsi="Arial" w:hint="cs"/>
          <w:noProof w:val="0"/>
          <w:rtl/>
        </w:rPr>
        <w:t xml:space="preserve">זאת ועוד, בשים לב כי תחילת ההליכים בעניינם של הצדדים במסגרת </w:t>
      </w:r>
      <w:r w:rsidR="006F66F0">
        <w:rPr>
          <w:rFonts w:ascii="Arial" w:hAnsi="Arial" w:hint="cs"/>
          <w:noProof w:val="0"/>
          <w:rtl/>
        </w:rPr>
        <w:t xml:space="preserve">שני תיקי </w:t>
      </w:r>
      <w:r>
        <w:rPr>
          <w:rFonts w:ascii="Arial" w:hAnsi="Arial" w:hint="cs"/>
          <w:noProof w:val="0"/>
          <w:rtl/>
        </w:rPr>
        <w:t xml:space="preserve">ה"ט, </w:t>
      </w:r>
      <w:r w:rsidR="00340561">
        <w:rPr>
          <w:rFonts w:ascii="Arial" w:hAnsi="Arial" w:hint="cs"/>
          <w:noProof w:val="0"/>
          <w:rtl/>
        </w:rPr>
        <w:t>כש</w:t>
      </w:r>
      <w:r>
        <w:rPr>
          <w:rFonts w:ascii="Arial" w:hAnsi="Arial" w:hint="cs"/>
          <w:noProof w:val="0"/>
          <w:rtl/>
        </w:rPr>
        <w:t xml:space="preserve">בהליך ה"ט </w:t>
      </w:r>
      <w:r w:rsidR="008916F7">
        <w:rPr>
          <w:rFonts w:ascii="David" w:hAnsi="David" w:hint="cs"/>
          <w:noProof w:val="0"/>
          <w:rtl/>
        </w:rPr>
        <w:t>70078-05-23</w:t>
      </w:r>
      <w:r>
        <w:rPr>
          <w:rFonts w:ascii="Arial" w:hAnsi="Arial" w:hint="cs"/>
          <w:noProof w:val="0"/>
          <w:rtl/>
        </w:rPr>
        <w:t xml:space="preserve"> צומצמו זמני השהות של המבקשת עם הקטינה ובהסכמת הצדדים לימים ב' ו-ד' בין השעות 16:00-20:00 </w:t>
      </w:r>
      <w:r w:rsidR="00340561">
        <w:rPr>
          <w:rFonts w:ascii="Arial" w:hAnsi="Arial" w:hint="cs"/>
          <w:noProof w:val="0"/>
          <w:rtl/>
        </w:rPr>
        <w:t>ולמשך 90 ימים, כש</w:t>
      </w:r>
      <w:r w:rsidR="0022232B">
        <w:rPr>
          <w:rFonts w:ascii="Arial" w:hAnsi="Arial" w:hint="cs"/>
          <w:noProof w:val="0"/>
          <w:rtl/>
        </w:rPr>
        <w:t xml:space="preserve">במסגרת הליך זה (תלה"מ </w:t>
      </w:r>
      <w:r w:rsidR="008916F7">
        <w:rPr>
          <w:rFonts w:ascii="David" w:hAnsi="David" w:hint="cs"/>
          <w:noProof w:val="0"/>
          <w:rtl/>
        </w:rPr>
        <w:t>15866-08-23</w:t>
      </w:r>
      <w:r w:rsidR="008916F7">
        <w:rPr>
          <w:rFonts w:ascii="David" w:hAnsi="David"/>
          <w:noProof w:val="0"/>
        </w:rPr>
        <w:t>(</w:t>
      </w:r>
      <w:r w:rsidR="0022232B">
        <w:rPr>
          <w:rFonts w:ascii="Arial" w:hAnsi="Arial" w:hint="cs"/>
          <w:noProof w:val="0"/>
          <w:rtl/>
        </w:rPr>
        <w:t xml:space="preserve">, הורחבו זמני השהות בין המבקשת לקטינה עד שהפכו לשווים, וכיום הקטינה מחלקת את זמנה בין המבקשת למשיב באופן שווה. </w:t>
      </w:r>
      <w:r w:rsidR="00340561">
        <w:rPr>
          <w:rFonts w:ascii="Arial" w:hAnsi="Arial" w:hint="cs"/>
          <w:noProof w:val="0"/>
          <w:rtl/>
        </w:rPr>
        <w:t>די בעובדה זו</w:t>
      </w:r>
      <w:r w:rsidR="0022232B">
        <w:rPr>
          <w:rFonts w:ascii="Arial" w:hAnsi="Arial" w:hint="cs"/>
          <w:noProof w:val="0"/>
          <w:rtl/>
        </w:rPr>
        <w:t xml:space="preserve"> כדי לשמוט את הקרקע תחת טענות המבקשת</w:t>
      </w:r>
      <w:r w:rsidR="00340561">
        <w:rPr>
          <w:rFonts w:ascii="Arial" w:hAnsi="Arial" w:hint="cs"/>
          <w:noProof w:val="0"/>
          <w:rtl/>
        </w:rPr>
        <w:t>,</w:t>
      </w:r>
      <w:r w:rsidR="0022232B">
        <w:rPr>
          <w:rFonts w:ascii="Arial" w:hAnsi="Arial" w:hint="cs"/>
          <w:noProof w:val="0"/>
          <w:rtl/>
        </w:rPr>
        <w:t xml:space="preserve"> שכן באם בית המשפט היה סגור בדעתו</w:t>
      </w:r>
      <w:r w:rsidR="00340561">
        <w:rPr>
          <w:rFonts w:ascii="Arial" w:hAnsi="Arial" w:hint="cs"/>
          <w:noProof w:val="0"/>
          <w:rtl/>
        </w:rPr>
        <w:t>,</w:t>
      </w:r>
      <w:r w:rsidR="0022232B">
        <w:rPr>
          <w:rFonts w:ascii="Arial" w:hAnsi="Arial" w:hint="cs"/>
          <w:noProof w:val="0"/>
          <w:rtl/>
        </w:rPr>
        <w:t xml:space="preserve"> ולטענת המבקשת "דעתו נעולה"</w:t>
      </w:r>
      <w:r w:rsidR="00340561">
        <w:rPr>
          <w:rFonts w:ascii="Arial" w:hAnsi="Arial" w:hint="cs"/>
          <w:noProof w:val="0"/>
          <w:rtl/>
        </w:rPr>
        <w:t>,</w:t>
      </w:r>
      <w:r w:rsidR="0022232B">
        <w:rPr>
          <w:rFonts w:ascii="Arial" w:hAnsi="Arial" w:hint="cs"/>
          <w:noProof w:val="0"/>
          <w:rtl/>
        </w:rPr>
        <w:t xml:space="preserve"> הרי שלא היה מאפשר ובשום מקרה להרחיב את הסדרי השהות בוודאי שלא </w:t>
      </w:r>
      <w:r w:rsidR="00340561">
        <w:rPr>
          <w:rFonts w:ascii="Arial" w:hAnsi="Arial" w:hint="cs"/>
          <w:noProof w:val="0"/>
          <w:rtl/>
        </w:rPr>
        <w:t>להביאן ל</w:t>
      </w:r>
      <w:r w:rsidR="0022232B">
        <w:rPr>
          <w:rFonts w:ascii="Arial" w:hAnsi="Arial" w:hint="cs"/>
          <w:noProof w:val="0"/>
          <w:rtl/>
        </w:rPr>
        <w:t xml:space="preserve">כדי חלוקת זמני שהות שווים, לטעמי מדובר בבקשה שלא היה מקום להגישה כלל ועיקר. </w:t>
      </w:r>
    </w:p>
    <w:p w:rsidR="008A1192" w:rsidRDefault="00F53FCE" w:rsidP="0022232B">
      <w:pPr>
        <w:pStyle w:val="ad"/>
        <w:numPr>
          <w:ilvl w:val="0"/>
          <w:numId w:val="1"/>
        </w:numPr>
        <w:spacing w:line="360" w:lineRule="auto"/>
        <w:jc w:val="both"/>
        <w:rPr>
          <w:rFonts w:ascii="Arial" w:hAnsi="Arial"/>
          <w:noProof w:val="0"/>
        </w:rPr>
      </w:pPr>
      <w:r>
        <w:rPr>
          <w:rFonts w:ascii="Arial" w:hAnsi="Arial" w:hint="cs"/>
          <w:noProof w:val="0"/>
          <w:rtl/>
        </w:rPr>
        <w:lastRenderedPageBreak/>
        <w:t>מדובר בהחלטה דיונית שנתנה ב</w:t>
      </w:r>
      <w:r w:rsidR="00340561">
        <w:rPr>
          <w:rFonts w:ascii="Arial" w:hAnsi="Arial" w:hint="cs"/>
          <w:noProof w:val="0"/>
          <w:rtl/>
        </w:rPr>
        <w:t xml:space="preserve">מסגרת </w:t>
      </w:r>
      <w:r>
        <w:rPr>
          <w:rFonts w:ascii="Arial" w:hAnsi="Arial" w:hint="cs"/>
          <w:noProof w:val="0"/>
          <w:rtl/>
        </w:rPr>
        <w:t xml:space="preserve">בקשת המשיב למתן הוראות בעניין </w:t>
      </w:r>
      <w:r w:rsidR="00340561">
        <w:rPr>
          <w:rFonts w:ascii="Arial" w:hAnsi="Arial" w:hint="cs"/>
          <w:noProof w:val="0"/>
          <w:rtl/>
        </w:rPr>
        <w:t>ה</w:t>
      </w:r>
      <w:r>
        <w:rPr>
          <w:rFonts w:ascii="Arial" w:hAnsi="Arial" w:hint="cs"/>
          <w:noProof w:val="0"/>
          <w:rtl/>
        </w:rPr>
        <w:t xml:space="preserve">טיפול </w:t>
      </w:r>
      <w:r w:rsidR="00340561">
        <w:rPr>
          <w:rFonts w:ascii="Arial" w:hAnsi="Arial" w:hint="cs"/>
          <w:noProof w:val="0"/>
          <w:rtl/>
        </w:rPr>
        <w:t>ה</w:t>
      </w:r>
      <w:r>
        <w:rPr>
          <w:rFonts w:ascii="Arial" w:hAnsi="Arial" w:hint="cs"/>
          <w:noProof w:val="0"/>
          <w:rtl/>
        </w:rPr>
        <w:t xml:space="preserve">רגשי לקטינה, במסגרתה הועלו טענות ותגובות שכפי שפורט לעיל ואשר הביאו ביהמ"ש למתן ההחלטה מיום 11.4.24.  </w:t>
      </w:r>
      <w:r w:rsidR="0022232B" w:rsidRPr="0022232B">
        <w:rPr>
          <w:rFonts w:ascii="Arial" w:hAnsi="Arial" w:hint="cs"/>
          <w:noProof w:val="0"/>
          <w:rtl/>
        </w:rPr>
        <w:t xml:space="preserve"> </w:t>
      </w:r>
    </w:p>
    <w:p w:rsidR="00B7303A" w:rsidRDefault="008A1192" w:rsidP="00B7303A">
      <w:pPr>
        <w:pStyle w:val="ad"/>
        <w:numPr>
          <w:ilvl w:val="0"/>
          <w:numId w:val="1"/>
        </w:numPr>
        <w:spacing w:line="360" w:lineRule="auto"/>
        <w:jc w:val="both"/>
        <w:rPr>
          <w:rFonts w:ascii="Arial" w:hAnsi="Arial"/>
          <w:noProof w:val="0"/>
        </w:rPr>
      </w:pPr>
      <w:r>
        <w:rPr>
          <w:rFonts w:ascii="Arial" w:hAnsi="Arial" w:hint="cs"/>
          <w:noProof w:val="0"/>
          <w:rtl/>
        </w:rPr>
        <w:t xml:space="preserve">ביהמ"ש סבור כי אף במסגרת בקשה זו עולה </w:t>
      </w:r>
      <w:r w:rsidR="003E42D1">
        <w:rPr>
          <w:rFonts w:ascii="Arial" w:hAnsi="Arial" w:hint="cs"/>
          <w:noProof w:val="0"/>
          <w:rtl/>
        </w:rPr>
        <w:t>התכחשות המבקשת לבעיית האלכוהול עת נטענות על ידה טענות</w:t>
      </w:r>
      <w:r w:rsidR="001250F1">
        <w:rPr>
          <w:rFonts w:ascii="Arial" w:hAnsi="Arial" w:hint="cs"/>
          <w:noProof w:val="0"/>
          <w:rtl/>
        </w:rPr>
        <w:t>,</w:t>
      </w:r>
      <w:r w:rsidR="003E42D1">
        <w:rPr>
          <w:rFonts w:ascii="Arial" w:hAnsi="Arial" w:hint="cs"/>
          <w:noProof w:val="0"/>
          <w:rtl/>
        </w:rPr>
        <w:t xml:space="preserve"> כי המשיב הוא שהדיח המבקשת לשימוש באלכוהול</w:t>
      </w:r>
      <w:r w:rsidR="00340561">
        <w:rPr>
          <w:rFonts w:ascii="Arial" w:hAnsi="Arial" w:hint="cs"/>
          <w:noProof w:val="0"/>
          <w:rtl/>
        </w:rPr>
        <w:t xml:space="preserve"> תוך שטיחת תאוריה קונספירטיבית אשר הועלתה לראשונה על ידי המבקשת במסגרת תגובות מטעמה תיאוריה העומדת בסתירה ישירה לדברי המבקשת בתיקי הה"ט וכפי שפורט לעיל</w:t>
      </w:r>
      <w:r w:rsidR="001250F1">
        <w:rPr>
          <w:rFonts w:ascii="Arial" w:hAnsi="Arial" w:hint="cs"/>
          <w:noProof w:val="0"/>
          <w:rtl/>
        </w:rPr>
        <w:t>. טענה</w:t>
      </w:r>
      <w:r w:rsidR="003E42D1">
        <w:rPr>
          <w:rFonts w:ascii="Arial" w:hAnsi="Arial" w:hint="cs"/>
          <w:noProof w:val="0"/>
          <w:rtl/>
        </w:rPr>
        <w:t xml:space="preserve"> </w:t>
      </w:r>
      <w:r w:rsidR="001250F1">
        <w:rPr>
          <w:rFonts w:ascii="Arial" w:hAnsi="Arial" w:hint="cs"/>
          <w:noProof w:val="0"/>
          <w:rtl/>
        </w:rPr>
        <w:t xml:space="preserve">במסגרתה הבהירה כי </w:t>
      </w:r>
      <w:r w:rsidR="003E42D1">
        <w:rPr>
          <w:rFonts w:ascii="Arial" w:hAnsi="Arial" w:hint="cs"/>
          <w:noProof w:val="0"/>
          <w:rtl/>
        </w:rPr>
        <w:t>הבעיה שיש למבקשת כיום איננה בעיית ההתמכרות לאלכוהול אלא התמודדות עם בית המשפט, אמרות והתבטאויות להן אין כל מקום</w:t>
      </w:r>
      <w:r w:rsidR="001250F1">
        <w:rPr>
          <w:rFonts w:ascii="Arial" w:hAnsi="Arial" w:hint="cs"/>
          <w:noProof w:val="0"/>
          <w:rtl/>
        </w:rPr>
        <w:t>,</w:t>
      </w:r>
      <w:r w:rsidR="003E42D1">
        <w:rPr>
          <w:rFonts w:ascii="Arial" w:hAnsi="Arial" w:hint="cs"/>
          <w:noProof w:val="0"/>
          <w:rtl/>
        </w:rPr>
        <w:t xml:space="preserve"> וביהמ"ש סבור כי </w:t>
      </w:r>
      <w:r w:rsidR="00B7303A">
        <w:rPr>
          <w:rFonts w:ascii="Arial" w:hAnsi="Arial" w:hint="cs"/>
          <w:noProof w:val="0"/>
          <w:rtl/>
        </w:rPr>
        <w:t>אף התבטאויות אלו, כגון התבטאויות נוספות מטעם המבקשת, יש ל</w:t>
      </w:r>
      <w:r w:rsidR="001250F1">
        <w:rPr>
          <w:rFonts w:ascii="Arial" w:hAnsi="Arial" w:hint="cs"/>
          <w:noProof w:val="0"/>
          <w:rtl/>
        </w:rPr>
        <w:t>הורות על מחיקתן מאחר ואין כל מקום לשיח הנושא ע</w:t>
      </w:r>
      <w:r w:rsidR="00B7303A">
        <w:rPr>
          <w:rFonts w:ascii="Arial" w:hAnsi="Arial" w:hint="cs"/>
          <w:noProof w:val="0"/>
          <w:rtl/>
        </w:rPr>
        <w:t xml:space="preserve">מו זלזול בוטה וחוסר כבוד, הן לבית המשפט </w:t>
      </w:r>
      <w:r w:rsidR="005B427F">
        <w:rPr>
          <w:rFonts w:ascii="Arial" w:hAnsi="Arial" w:hint="cs"/>
          <w:noProof w:val="0"/>
          <w:rtl/>
        </w:rPr>
        <w:t>והן לאנשי המקצוע המלווים המבקשת, המשיב והקטינה בהליכים אלו</w:t>
      </w:r>
      <w:r w:rsidR="00B7303A">
        <w:rPr>
          <w:rFonts w:ascii="Arial" w:hAnsi="Arial" w:hint="cs"/>
          <w:noProof w:val="0"/>
          <w:rtl/>
        </w:rPr>
        <w:t>.</w:t>
      </w:r>
      <w:r w:rsidR="003E42D1">
        <w:rPr>
          <w:rFonts w:ascii="Arial" w:hAnsi="Arial" w:hint="cs"/>
          <w:noProof w:val="0"/>
          <w:rtl/>
        </w:rPr>
        <w:t xml:space="preserve"> </w:t>
      </w:r>
    </w:p>
    <w:p w:rsidR="00B7303A" w:rsidRDefault="00B7303A" w:rsidP="00B7303A">
      <w:pPr>
        <w:pStyle w:val="ad"/>
        <w:numPr>
          <w:ilvl w:val="0"/>
          <w:numId w:val="1"/>
        </w:numPr>
        <w:spacing w:line="360" w:lineRule="auto"/>
        <w:jc w:val="both"/>
        <w:rPr>
          <w:rFonts w:ascii="Arial" w:hAnsi="Arial"/>
          <w:noProof w:val="0"/>
        </w:rPr>
      </w:pPr>
      <w:r>
        <w:rPr>
          <w:rFonts w:ascii="Arial" w:hAnsi="Arial" w:hint="cs"/>
          <w:noProof w:val="0"/>
          <w:rtl/>
        </w:rPr>
        <w:t>ביהמ"ש סבור כי בקשה זו איננה אלא ביטוי של דרך התנהלות קלוקלת אותה מובילה באת כוחה של המבקשת דווקא ולא המבקשת עצמה, שכן בדיונים שהתקיימו במסגרת שני תיקי הה"ט גישתה ש</w:t>
      </w:r>
      <w:r w:rsidR="005B427F">
        <w:rPr>
          <w:rFonts w:ascii="Arial" w:hAnsi="Arial" w:hint="cs"/>
          <w:noProof w:val="0"/>
          <w:rtl/>
        </w:rPr>
        <w:t>ל המבקשת הייתה שונה לחלוטין, וכללה</w:t>
      </w:r>
      <w:r>
        <w:rPr>
          <w:rFonts w:ascii="Arial" w:hAnsi="Arial" w:hint="cs"/>
          <w:noProof w:val="0"/>
          <w:rtl/>
        </w:rPr>
        <w:t xml:space="preserve"> הבעת צער ורצון לצאת ממעגל ההתמכרות כאשר המבקשת מתחייבת ומשוועת לעזרה.</w:t>
      </w:r>
    </w:p>
    <w:p w:rsidR="001F3E04" w:rsidRDefault="005B427F" w:rsidP="00B7303A">
      <w:pPr>
        <w:pStyle w:val="ad"/>
        <w:numPr>
          <w:ilvl w:val="0"/>
          <w:numId w:val="1"/>
        </w:numPr>
        <w:spacing w:line="360" w:lineRule="auto"/>
        <w:jc w:val="both"/>
        <w:rPr>
          <w:rFonts w:ascii="Arial" w:hAnsi="Arial"/>
          <w:noProof w:val="0"/>
        </w:rPr>
      </w:pPr>
      <w:r>
        <w:rPr>
          <w:rFonts w:ascii="Arial" w:hAnsi="Arial" w:hint="cs"/>
          <w:noProof w:val="0"/>
          <w:rtl/>
        </w:rPr>
        <w:t xml:space="preserve">משנפתחו ההליכים ובהתאם להוראת ביהמ"ש, </w:t>
      </w:r>
      <w:r w:rsidR="00B7303A">
        <w:rPr>
          <w:rFonts w:ascii="Arial" w:hAnsi="Arial" w:hint="cs"/>
          <w:noProof w:val="0"/>
          <w:rtl/>
        </w:rPr>
        <w:t>ניכר כי הייתה התקדמות משמעותית אצל המבקשת וזאת חרף הדברים שהועלו בתסקירים ובדיווחי העו"ס לחוק נו</w:t>
      </w:r>
      <w:r w:rsidR="001F3E04">
        <w:rPr>
          <w:rFonts w:ascii="Arial" w:hAnsi="Arial" w:hint="cs"/>
          <w:noProof w:val="0"/>
          <w:rtl/>
        </w:rPr>
        <w:t>ער והאפוטרופא לדין</w:t>
      </w:r>
      <w:r w:rsidR="00B7303A">
        <w:rPr>
          <w:rFonts w:ascii="Arial" w:hAnsi="Arial" w:hint="cs"/>
          <w:noProof w:val="0"/>
          <w:rtl/>
        </w:rPr>
        <w:t xml:space="preserve">, אלא שסגנונה המשתלח </w:t>
      </w:r>
      <w:r w:rsidR="001F3E04">
        <w:rPr>
          <w:rFonts w:ascii="Arial" w:hAnsi="Arial" w:hint="cs"/>
          <w:noProof w:val="0"/>
          <w:rtl/>
        </w:rPr>
        <w:t>של המבקשת מפי באת כוחה החל לייצר בקשות, תגובות, הודעות ותגובות להחלטות להם לא היה מקום ו</w:t>
      </w:r>
      <w:r w:rsidR="000B44E5">
        <w:rPr>
          <w:rFonts w:ascii="Arial" w:hAnsi="Arial" w:hint="cs"/>
          <w:noProof w:val="0"/>
          <w:rtl/>
        </w:rPr>
        <w:t>בוודאי שלא בסגנון משתלח כפי שהוגשו על ידה</w:t>
      </w:r>
      <w:r w:rsidR="001F3E04">
        <w:rPr>
          <w:rFonts w:ascii="Arial" w:hAnsi="Arial" w:hint="cs"/>
          <w:noProof w:val="0"/>
          <w:rtl/>
        </w:rPr>
        <w:t>. ביהמ"ש בהחלטות שונות הורה על תיקון הבקשות אם באמצעות הגשתן לפי סדרי הדין ואם באמצעות הוראה לתיקון ע"י הסרת תוכן פוגעני ומיותר.</w:t>
      </w:r>
    </w:p>
    <w:p w:rsidR="001F3E04" w:rsidRDefault="001F3E04" w:rsidP="00B7303A">
      <w:pPr>
        <w:pStyle w:val="ad"/>
        <w:numPr>
          <w:ilvl w:val="0"/>
          <w:numId w:val="1"/>
        </w:numPr>
        <w:spacing w:line="360" w:lineRule="auto"/>
        <w:jc w:val="both"/>
        <w:rPr>
          <w:rFonts w:ascii="Arial" w:hAnsi="Arial"/>
          <w:noProof w:val="0"/>
        </w:rPr>
      </w:pPr>
      <w:r>
        <w:rPr>
          <w:rFonts w:ascii="Arial" w:hAnsi="Arial" w:hint="cs"/>
          <w:noProof w:val="0"/>
          <w:rtl/>
        </w:rPr>
        <w:t>יש ובהחלט מקום לציין, כי כלל בקשותיה החוזרות והנשנות מטעם המבקשת עסקו בעניינים אשר נדונו והוכרעו ולא היה כל מקום לדון באלה מחדש</w:t>
      </w:r>
      <w:r w:rsidR="000B44E5">
        <w:rPr>
          <w:rFonts w:ascii="Arial" w:hAnsi="Arial" w:hint="cs"/>
          <w:noProof w:val="0"/>
          <w:rtl/>
        </w:rPr>
        <w:t>, כך שהלכה למעשה חלק בלתי מבוטל מכתבי בי דין שהוגשו העסיקו את ביהמ"ש במלאכת סרק מיותרת ובזבוז זמן שיפוטי יקר</w:t>
      </w:r>
      <w:r>
        <w:rPr>
          <w:rFonts w:ascii="Arial" w:hAnsi="Arial" w:hint="cs"/>
          <w:noProof w:val="0"/>
          <w:rtl/>
        </w:rPr>
        <w:t>.</w:t>
      </w:r>
    </w:p>
    <w:p w:rsidR="007C07E2" w:rsidRDefault="000B44E5" w:rsidP="00B7303A">
      <w:pPr>
        <w:pStyle w:val="ad"/>
        <w:numPr>
          <w:ilvl w:val="0"/>
          <w:numId w:val="1"/>
        </w:numPr>
        <w:spacing w:line="360" w:lineRule="auto"/>
        <w:jc w:val="both"/>
        <w:rPr>
          <w:rFonts w:ascii="Arial" w:hAnsi="Arial"/>
          <w:noProof w:val="0"/>
        </w:rPr>
      </w:pPr>
      <w:r>
        <w:rPr>
          <w:rFonts w:ascii="Arial" w:hAnsi="Arial" w:hint="cs"/>
          <w:noProof w:val="0"/>
          <w:rtl/>
        </w:rPr>
        <w:t>כאמור, בקשות</w:t>
      </w:r>
      <w:r w:rsidR="007C07E2">
        <w:rPr>
          <w:rFonts w:ascii="Arial" w:hAnsi="Arial" w:hint="cs"/>
          <w:noProof w:val="0"/>
          <w:rtl/>
        </w:rPr>
        <w:t xml:space="preserve"> ויתר ההודעות שהוגשו </w:t>
      </w:r>
      <w:r>
        <w:rPr>
          <w:rFonts w:ascii="Arial" w:hAnsi="Arial" w:hint="cs"/>
          <w:noProof w:val="0"/>
          <w:rtl/>
        </w:rPr>
        <w:t xml:space="preserve">מטעם המבקשת </w:t>
      </w:r>
      <w:r w:rsidR="007C07E2">
        <w:rPr>
          <w:rFonts w:ascii="Arial" w:hAnsi="Arial" w:hint="cs"/>
          <w:noProof w:val="0"/>
          <w:rtl/>
        </w:rPr>
        <w:t>עסקו בדרישת</w:t>
      </w:r>
      <w:r>
        <w:rPr>
          <w:rFonts w:ascii="Arial" w:hAnsi="Arial" w:hint="cs"/>
          <w:noProof w:val="0"/>
          <w:rtl/>
        </w:rPr>
        <w:t>ה</w:t>
      </w:r>
      <w:r w:rsidR="007C07E2">
        <w:rPr>
          <w:rFonts w:ascii="Arial" w:hAnsi="Arial" w:hint="cs"/>
          <w:noProof w:val="0"/>
          <w:rtl/>
        </w:rPr>
        <w:t xml:space="preserve"> לבטל החלטת ביהמ"ש למתן </w:t>
      </w:r>
      <w:r>
        <w:rPr>
          <w:rFonts w:ascii="Arial" w:hAnsi="Arial" w:hint="cs"/>
          <w:noProof w:val="0"/>
          <w:rtl/>
        </w:rPr>
        <w:t>ה</w:t>
      </w:r>
      <w:r w:rsidR="007C07E2">
        <w:rPr>
          <w:rFonts w:ascii="Arial" w:hAnsi="Arial" w:hint="cs"/>
          <w:noProof w:val="0"/>
          <w:rtl/>
        </w:rPr>
        <w:t xml:space="preserve">טיפול </w:t>
      </w:r>
      <w:r>
        <w:rPr>
          <w:rFonts w:ascii="Arial" w:hAnsi="Arial" w:hint="cs"/>
          <w:noProof w:val="0"/>
          <w:rtl/>
        </w:rPr>
        <w:t>ה</w:t>
      </w:r>
      <w:r w:rsidR="007C07E2">
        <w:rPr>
          <w:rFonts w:ascii="Arial" w:hAnsi="Arial" w:hint="cs"/>
          <w:noProof w:val="0"/>
          <w:rtl/>
        </w:rPr>
        <w:t>רגשי לקטינה, תוך מתן הסברים שהמבקשת נקייה וטפילת האשם בהתמכרות במשיב עצמו</w:t>
      </w:r>
      <w:r>
        <w:rPr>
          <w:rFonts w:ascii="Arial" w:hAnsi="Arial" w:hint="cs"/>
          <w:noProof w:val="0"/>
          <w:rtl/>
        </w:rPr>
        <w:t>, ברצון הקטינה להפסיק הטיפול וכן בהאשמת המטפלת כי זו זוהמה במידע ע"י המשיב</w:t>
      </w:r>
      <w:r w:rsidR="007C07E2">
        <w:rPr>
          <w:rFonts w:ascii="Arial" w:hAnsi="Arial" w:hint="cs"/>
          <w:noProof w:val="0"/>
          <w:rtl/>
        </w:rPr>
        <w:t>. ביהמ"ש קבע כי מתן הטיפול לקטינה הינו צורך של ממש לנוכח הסיטואציות הקשות אליהן נקלעה ואשר קיבלו ביטוי אף בעדותה של המבקשת במסגרת תיקי הה"ט, תוך ראיית טובתה של הקטינ</w:t>
      </w:r>
      <w:r>
        <w:rPr>
          <w:rFonts w:ascii="Arial" w:hAnsi="Arial" w:hint="cs"/>
          <w:noProof w:val="0"/>
          <w:rtl/>
        </w:rPr>
        <w:t>ה בראש ובראשונה, ובתמיכה של כלל אנשי המקצוע.</w:t>
      </w:r>
    </w:p>
    <w:p w:rsidR="00D81021" w:rsidRDefault="000B44E5" w:rsidP="00B7303A">
      <w:pPr>
        <w:pStyle w:val="ad"/>
        <w:numPr>
          <w:ilvl w:val="0"/>
          <w:numId w:val="1"/>
        </w:numPr>
        <w:spacing w:line="360" w:lineRule="auto"/>
        <w:jc w:val="both"/>
        <w:rPr>
          <w:rFonts w:ascii="Arial" w:hAnsi="Arial"/>
          <w:noProof w:val="0"/>
        </w:rPr>
      </w:pPr>
      <w:r>
        <w:rPr>
          <w:rFonts w:ascii="Arial" w:hAnsi="Arial" w:hint="cs"/>
          <w:noProof w:val="0"/>
          <w:rtl/>
        </w:rPr>
        <w:lastRenderedPageBreak/>
        <w:t>על פני</w:t>
      </w:r>
      <w:r w:rsidR="00070EE7">
        <w:rPr>
          <w:rFonts w:ascii="Arial" w:hAnsi="Arial" w:hint="cs"/>
          <w:noProof w:val="0"/>
          <w:rtl/>
        </w:rPr>
        <w:t>ו נראה</w:t>
      </w:r>
      <w:r w:rsidR="000B031A">
        <w:rPr>
          <w:rFonts w:ascii="Arial" w:hAnsi="Arial" w:hint="cs"/>
          <w:noProof w:val="0"/>
          <w:rtl/>
        </w:rPr>
        <w:t xml:space="preserve">, כי </w:t>
      </w:r>
      <w:r w:rsidR="007C07E2">
        <w:rPr>
          <w:rFonts w:ascii="Arial" w:hAnsi="Arial" w:hint="cs"/>
          <w:noProof w:val="0"/>
          <w:rtl/>
        </w:rPr>
        <w:t>המבקשת מסיתה הדיון מטובת הקטינה באופן בלתי ראוי תוך הפניית האשמות חסרות כל שחר כלפיי ביהמ"ש ובאמצעות ערבוב טענות מן היקב ומן הגורן של החלטות דיוניות שניתנו במהלך ניהול ההליכים, ובהתעלם התעלמות כמעט מוחלטת מקיומה של חלוקת זמנים שווה בינה לבין המשיב</w:t>
      </w:r>
      <w:r w:rsidR="00D81021">
        <w:rPr>
          <w:rFonts w:ascii="Arial" w:hAnsi="Arial" w:hint="cs"/>
          <w:noProof w:val="0"/>
          <w:rtl/>
        </w:rPr>
        <w:t>.</w:t>
      </w:r>
    </w:p>
    <w:p w:rsidR="00D81021" w:rsidRDefault="00D81021" w:rsidP="00B7303A">
      <w:pPr>
        <w:pStyle w:val="ad"/>
        <w:numPr>
          <w:ilvl w:val="0"/>
          <w:numId w:val="1"/>
        </w:numPr>
        <w:spacing w:line="360" w:lineRule="auto"/>
        <w:jc w:val="both"/>
        <w:rPr>
          <w:rFonts w:ascii="Arial" w:hAnsi="Arial"/>
          <w:noProof w:val="0"/>
        </w:rPr>
      </w:pPr>
      <w:r>
        <w:rPr>
          <w:rFonts w:ascii="Arial" w:hAnsi="Arial" w:hint="cs"/>
          <w:noProof w:val="0"/>
          <w:rtl/>
        </w:rPr>
        <w:t>ככל ודעתו של ביהמ"ש הייתה נעולה, וכפי האמור בבקשה הרי שביהמ"ש היה מורה על קיומם של מפגשים בין המבקשת לבין הקטינה בפיקוח, ולא כך הוא!</w:t>
      </w:r>
    </w:p>
    <w:p w:rsidR="00D81021" w:rsidRDefault="00D81021" w:rsidP="008916F7">
      <w:pPr>
        <w:pStyle w:val="ad"/>
        <w:numPr>
          <w:ilvl w:val="0"/>
          <w:numId w:val="1"/>
        </w:numPr>
        <w:spacing w:line="360" w:lineRule="auto"/>
        <w:jc w:val="both"/>
        <w:rPr>
          <w:rFonts w:ascii="Arial" w:hAnsi="Arial"/>
          <w:noProof w:val="0"/>
        </w:rPr>
      </w:pPr>
      <w:r>
        <w:rPr>
          <w:rFonts w:ascii="Arial" w:hAnsi="Arial" w:hint="cs"/>
          <w:noProof w:val="0"/>
          <w:rtl/>
        </w:rPr>
        <w:t xml:space="preserve">טיפול בהתמכרות איננו טיפול רגעי, אלא מדובר בתהליך על המבקשת לעבור על מנת להבטיח הן את שלום הקטינה, יציבות הקשר ומניעת חשיפתה לסיטואציות קשות כפי שנחשפה אליהן לנוכח התמכרות המבקשת ופעולותיה עת הייתה בגילופין, אשר כללו בין היתר תקיפות, זריקת חפצים ואף תאונת דרכים עת נהגה תחת השפעת אלכוהול. יתרה מכך, הטיפול המתמשך בבעיית האלכוהול בא על מנת לסייע למבקשת עצמה ובהתאם להתחייבותה בפני ביהמ"ש וכפי שנרשם בפרוטוקול הדיון בה"ט </w:t>
      </w:r>
      <w:r w:rsidR="008916F7">
        <w:rPr>
          <w:rFonts w:ascii="David" w:hAnsi="David" w:hint="cs"/>
          <w:noProof w:val="0"/>
          <w:rtl/>
        </w:rPr>
        <w:t>70078-05-23.</w:t>
      </w:r>
      <w:r w:rsidR="007C07E2">
        <w:rPr>
          <w:rFonts w:ascii="Arial" w:hAnsi="Arial" w:hint="cs"/>
          <w:noProof w:val="0"/>
          <w:rtl/>
        </w:rPr>
        <w:t xml:space="preserve"> </w:t>
      </w:r>
      <w:r w:rsidR="001F3E04">
        <w:rPr>
          <w:rFonts w:ascii="Arial" w:hAnsi="Arial" w:hint="cs"/>
          <w:noProof w:val="0"/>
          <w:rtl/>
        </w:rPr>
        <w:t xml:space="preserve"> </w:t>
      </w:r>
    </w:p>
    <w:p w:rsidR="009F4B4A" w:rsidRDefault="00D81021" w:rsidP="000B031A">
      <w:pPr>
        <w:pStyle w:val="ad"/>
        <w:numPr>
          <w:ilvl w:val="0"/>
          <w:numId w:val="1"/>
        </w:numPr>
        <w:spacing w:line="360" w:lineRule="auto"/>
        <w:jc w:val="both"/>
        <w:rPr>
          <w:rFonts w:ascii="Arial" w:hAnsi="Arial"/>
          <w:noProof w:val="0"/>
        </w:rPr>
      </w:pPr>
      <w:r>
        <w:rPr>
          <w:rFonts w:ascii="Arial" w:hAnsi="Arial" w:hint="cs"/>
          <w:noProof w:val="0"/>
          <w:rtl/>
        </w:rPr>
        <w:t xml:space="preserve">ביהמ"ש סבור, כי ככל </w:t>
      </w:r>
      <w:r w:rsidR="009F4B4A">
        <w:rPr>
          <w:rFonts w:ascii="Arial" w:hAnsi="Arial" w:hint="cs"/>
          <w:noProof w:val="0"/>
          <w:rtl/>
        </w:rPr>
        <w:t>והמבקשת סברה ש</w:t>
      </w:r>
      <w:r w:rsidR="000B031A">
        <w:rPr>
          <w:rFonts w:ascii="Arial" w:hAnsi="Arial" w:hint="cs"/>
          <w:noProof w:val="0"/>
          <w:rtl/>
        </w:rPr>
        <w:t>החלטה</w:t>
      </w:r>
      <w:r w:rsidR="009F4B4A">
        <w:rPr>
          <w:rFonts w:ascii="Arial" w:hAnsi="Arial" w:hint="cs"/>
          <w:noProof w:val="0"/>
          <w:rtl/>
        </w:rPr>
        <w:t xml:space="preserve"> מהחלטות ביהמ"ש שניתנו במהלך ניהול ההליכים שגויה, וכפי שנאמר לעיל, היה עליה לפעול להגשת ערעור כחוק ושעה שלא עשתה כן אין מקום לקבל בקשה זו הנשענת על אדנים רעועים חלף הגשת ערעור מטעמה.</w:t>
      </w:r>
    </w:p>
    <w:p w:rsidR="009F4B4A" w:rsidRDefault="009F4B4A" w:rsidP="00B7303A">
      <w:pPr>
        <w:pStyle w:val="ad"/>
        <w:numPr>
          <w:ilvl w:val="0"/>
          <w:numId w:val="1"/>
        </w:numPr>
        <w:spacing w:line="360" w:lineRule="auto"/>
        <w:jc w:val="both"/>
        <w:rPr>
          <w:rFonts w:ascii="Arial" w:hAnsi="Arial"/>
          <w:noProof w:val="0"/>
        </w:rPr>
      </w:pPr>
      <w:r>
        <w:rPr>
          <w:rFonts w:ascii="Arial" w:hAnsi="Arial" w:hint="cs"/>
          <w:noProof w:val="0"/>
          <w:rtl/>
        </w:rPr>
        <w:t>כך גם בתיק מזונות הקטינה, בתיק התרת הנישואין שבו טרם הוגש כתב הגנה מטעמה ואף בתיק הרכושי במסגרתו הגישה המבקשת בקשה למינוי אקטואר ורו"ח חוקר בטענה כי אין מועד קרע בין הצדדים.</w:t>
      </w:r>
    </w:p>
    <w:p w:rsidR="00B7303A" w:rsidRDefault="000B031A" w:rsidP="00B7303A">
      <w:pPr>
        <w:pStyle w:val="ad"/>
        <w:numPr>
          <w:ilvl w:val="0"/>
          <w:numId w:val="1"/>
        </w:numPr>
        <w:spacing w:line="360" w:lineRule="auto"/>
        <w:jc w:val="both"/>
        <w:rPr>
          <w:rFonts w:ascii="Arial" w:hAnsi="Arial"/>
          <w:noProof w:val="0"/>
        </w:rPr>
      </w:pPr>
      <w:r>
        <w:rPr>
          <w:rFonts w:ascii="Arial" w:hAnsi="Arial" w:hint="cs"/>
          <w:noProof w:val="0"/>
          <w:rtl/>
        </w:rPr>
        <w:t xml:space="preserve">אף לא מצאתי </w:t>
      </w:r>
      <w:r w:rsidR="00D82966">
        <w:rPr>
          <w:rFonts w:ascii="Arial" w:hAnsi="Arial" w:hint="cs"/>
          <w:noProof w:val="0"/>
          <w:rtl/>
        </w:rPr>
        <w:t>ב</w:t>
      </w:r>
      <w:r w:rsidR="00FB270D">
        <w:rPr>
          <w:rFonts w:ascii="Arial" w:hAnsi="Arial" w:hint="cs"/>
          <w:noProof w:val="0"/>
          <w:rtl/>
        </w:rPr>
        <w:t xml:space="preserve">טענת המבקשת כי </w:t>
      </w:r>
      <w:r w:rsidR="00D82966">
        <w:rPr>
          <w:rFonts w:ascii="Arial" w:hAnsi="Arial" w:hint="cs"/>
          <w:noProof w:val="0"/>
          <w:rtl/>
        </w:rPr>
        <w:t>באולם ביהמ"ש נאמרו כלפיה טענות גזעניות או בעלות ניחוח גזעני ו</w:t>
      </w:r>
      <w:r w:rsidR="00FB270D">
        <w:rPr>
          <w:rFonts w:ascii="Arial" w:hAnsi="Arial" w:hint="cs"/>
          <w:noProof w:val="0"/>
          <w:rtl/>
        </w:rPr>
        <w:t xml:space="preserve">ביהמ"ש לא </w:t>
      </w:r>
      <w:r w:rsidR="00D82966">
        <w:rPr>
          <w:rFonts w:ascii="Arial" w:hAnsi="Arial" w:hint="cs"/>
          <w:noProof w:val="0"/>
          <w:rtl/>
        </w:rPr>
        <w:t xml:space="preserve">קם להגנתה כל ממש. ב"כ </w:t>
      </w:r>
      <w:r w:rsidR="00FB270D">
        <w:rPr>
          <w:rFonts w:ascii="Arial" w:hAnsi="Arial" w:hint="cs"/>
          <w:noProof w:val="0"/>
          <w:rtl/>
        </w:rPr>
        <w:t xml:space="preserve">המשיב </w:t>
      </w:r>
      <w:r w:rsidR="00D82966">
        <w:rPr>
          <w:rFonts w:ascii="Arial" w:hAnsi="Arial" w:hint="cs"/>
          <w:noProof w:val="0"/>
          <w:rtl/>
        </w:rPr>
        <w:t xml:space="preserve">טענה לעניין חלוקת החגים ובאופן ספציפי לעניין חג הפסח, וציינה כי המבקשת אינה יהודייה ולדבריה אינה חוגגת את חג הפסח. מנגד נטען כי הורי המבקשת יהודים וזו כן חוגגת את חגי </w:t>
      </w:r>
      <w:r>
        <w:rPr>
          <w:rFonts w:ascii="Arial" w:hAnsi="Arial" w:hint="cs"/>
          <w:noProof w:val="0"/>
          <w:rtl/>
        </w:rPr>
        <w:t>ישראל. לטעמי העלאת טענה כי המבקשת אינה יהודייה איננה אלא טענה</w:t>
      </w:r>
      <w:r w:rsidR="00D82966">
        <w:rPr>
          <w:rFonts w:ascii="Arial" w:hAnsi="Arial" w:hint="cs"/>
          <w:noProof w:val="0"/>
          <w:rtl/>
        </w:rPr>
        <w:t xml:space="preserve"> עובדתית בלבד, טענה אשר לא נסתרה ואינה מעלה או מורידה מקרנה של המבקשת בעיני ביהמ"ש. כך או כך, חלוקת החג</w:t>
      </w:r>
      <w:r>
        <w:rPr>
          <w:rFonts w:ascii="Arial" w:hAnsi="Arial" w:hint="cs"/>
          <w:noProof w:val="0"/>
          <w:rtl/>
        </w:rPr>
        <w:t xml:space="preserve">ים נקבעה בהחלטה תוך שנקבע </w:t>
      </w:r>
      <w:r w:rsidR="00D82966">
        <w:rPr>
          <w:rFonts w:ascii="Arial" w:hAnsi="Arial" w:hint="cs"/>
          <w:noProof w:val="0"/>
          <w:rtl/>
        </w:rPr>
        <w:t>מפורש</w:t>
      </w:r>
      <w:r>
        <w:rPr>
          <w:rFonts w:ascii="Arial" w:hAnsi="Arial" w:hint="cs"/>
          <w:noProof w:val="0"/>
          <w:rtl/>
        </w:rPr>
        <w:t>ות</w:t>
      </w:r>
      <w:r w:rsidR="00D82966">
        <w:rPr>
          <w:rFonts w:ascii="Arial" w:hAnsi="Arial" w:hint="cs"/>
          <w:noProof w:val="0"/>
          <w:rtl/>
        </w:rPr>
        <w:t xml:space="preserve"> כי בשנה הבאה תחגוג הקטינה את החג בסדר הפוך משנקבע השנה.</w:t>
      </w:r>
    </w:p>
    <w:p w:rsidR="00ED289C" w:rsidRDefault="000B031A" w:rsidP="00ED289C">
      <w:pPr>
        <w:pStyle w:val="ad"/>
        <w:numPr>
          <w:ilvl w:val="0"/>
          <w:numId w:val="1"/>
        </w:numPr>
        <w:spacing w:line="360" w:lineRule="auto"/>
        <w:jc w:val="both"/>
        <w:rPr>
          <w:rFonts w:ascii="Arial" w:hAnsi="Arial"/>
          <w:noProof w:val="0"/>
        </w:rPr>
      </w:pPr>
      <w:r>
        <w:rPr>
          <w:rFonts w:ascii="Arial" w:hAnsi="Arial" w:hint="cs"/>
          <w:noProof w:val="0"/>
          <w:rtl/>
        </w:rPr>
        <w:t>ביהמ"ש מצ</w:t>
      </w:r>
      <w:r w:rsidR="00D82966">
        <w:rPr>
          <w:rFonts w:ascii="Arial" w:hAnsi="Arial" w:hint="cs"/>
          <w:noProof w:val="0"/>
          <w:rtl/>
        </w:rPr>
        <w:t xml:space="preserve">ר על העלאת הטענה וסבור כי זו הועלתה אך ורק </w:t>
      </w:r>
      <w:r w:rsidR="00AD397E">
        <w:rPr>
          <w:rFonts w:ascii="Arial" w:hAnsi="Arial" w:hint="cs"/>
          <w:noProof w:val="0"/>
          <w:rtl/>
        </w:rPr>
        <w:t>מתוך הצורך והרצון לתת נפח לבקשה הפסלות, בקשה שאינה מתיישבת עם העובדות והדין.</w:t>
      </w:r>
    </w:p>
    <w:p w:rsidR="000B031A" w:rsidRDefault="000B031A" w:rsidP="00ED289C">
      <w:pPr>
        <w:pStyle w:val="ad"/>
        <w:numPr>
          <w:ilvl w:val="0"/>
          <w:numId w:val="1"/>
        </w:numPr>
        <w:spacing w:line="360" w:lineRule="auto"/>
        <w:jc w:val="both"/>
        <w:rPr>
          <w:rFonts w:ascii="Arial" w:hAnsi="Arial"/>
          <w:noProof w:val="0"/>
        </w:rPr>
      </w:pPr>
      <w:r>
        <w:rPr>
          <w:rFonts w:ascii="Arial" w:hAnsi="Arial" w:hint="cs"/>
          <w:noProof w:val="0"/>
          <w:rtl/>
        </w:rPr>
        <w:t>לסיום, ולאור טענת המבקשת כי החלטת ביהמ"ש מיום 11.4.24 הינה המשך ישיר של</w:t>
      </w:r>
      <w:r w:rsidR="00A96713">
        <w:rPr>
          <w:rFonts w:ascii="Arial" w:hAnsi="Arial" w:hint="cs"/>
          <w:noProof w:val="0"/>
          <w:rtl/>
        </w:rPr>
        <w:t xml:space="preserve"> דברי ביהמ"ש שנאמרו מחוץ לפרוטוקול בדיון שהתקיים ביום 12.3.24, אינה ברורה. לו הייתה מתכבדת המבקשת ומפרטת במה דברים אמורים ניתן היה לדון באלו, אך עיון בבקשה לא מעלה דבר למעט טענה סתומה.</w:t>
      </w:r>
    </w:p>
    <w:p w:rsidR="00ED289C" w:rsidRPr="00ED289C" w:rsidRDefault="00ED289C" w:rsidP="00ED289C">
      <w:pPr>
        <w:pStyle w:val="ad"/>
        <w:numPr>
          <w:ilvl w:val="0"/>
          <w:numId w:val="1"/>
        </w:numPr>
        <w:spacing w:line="360" w:lineRule="auto"/>
        <w:jc w:val="both"/>
        <w:rPr>
          <w:rFonts w:ascii="Arial" w:hAnsi="Arial"/>
          <w:noProof w:val="0"/>
        </w:rPr>
      </w:pPr>
      <w:r w:rsidRPr="00ED289C">
        <w:rPr>
          <w:rFonts w:ascii="Arial" w:hAnsi="Arial"/>
          <w:noProof w:val="0"/>
          <w:rtl/>
        </w:rPr>
        <w:lastRenderedPageBreak/>
        <w:t xml:space="preserve">מכל המקובץ לעיל מצאתי כי לא מתקיימות נסיבות שיש בהן כדי ליצור </w:t>
      </w:r>
      <w:r>
        <w:rPr>
          <w:rFonts w:ascii="Arial" w:hAnsi="Arial" w:hint="cs"/>
          <w:noProof w:val="0"/>
          <w:rtl/>
        </w:rPr>
        <w:t xml:space="preserve">חשש למשוא פנים וקל וחומר </w:t>
      </w:r>
      <w:r w:rsidRPr="00ED289C">
        <w:rPr>
          <w:rFonts w:ascii="Arial" w:hAnsi="Arial"/>
          <w:noProof w:val="0"/>
          <w:rtl/>
        </w:rPr>
        <w:t xml:space="preserve">חשש ממשי למשוא פנים </w:t>
      </w:r>
      <w:r>
        <w:rPr>
          <w:rFonts w:ascii="Arial" w:hAnsi="Arial"/>
          <w:noProof w:val="0"/>
          <w:rtl/>
        </w:rPr>
        <w:t xml:space="preserve">בניהול </w:t>
      </w:r>
      <w:r>
        <w:rPr>
          <w:rFonts w:ascii="Arial" w:hAnsi="Arial" w:hint="cs"/>
          <w:noProof w:val="0"/>
          <w:rtl/>
        </w:rPr>
        <w:t>ההליכים שבפניי</w:t>
      </w:r>
      <w:r w:rsidRPr="00ED289C">
        <w:rPr>
          <w:rFonts w:ascii="Arial" w:hAnsi="Arial"/>
          <w:noProof w:val="0"/>
          <w:rtl/>
        </w:rPr>
        <w:t xml:space="preserve"> ומכאן כי דין הבקשה לפסלות שופט ב</w:t>
      </w:r>
      <w:r>
        <w:rPr>
          <w:rFonts w:ascii="Arial" w:hAnsi="Arial" w:hint="cs"/>
          <w:noProof w:val="0"/>
          <w:rtl/>
        </w:rPr>
        <w:t>כלל ההליכים המתנהלים בפניי בעניינם של הצדדים</w:t>
      </w:r>
      <w:r w:rsidRPr="00ED289C">
        <w:rPr>
          <w:rFonts w:ascii="Arial" w:hAnsi="Arial"/>
          <w:noProof w:val="0"/>
          <w:rtl/>
        </w:rPr>
        <w:t xml:space="preserve"> – </w:t>
      </w:r>
      <w:r w:rsidRPr="00ED289C">
        <w:rPr>
          <w:rFonts w:ascii="Arial" w:hAnsi="Arial"/>
          <w:b/>
          <w:bCs/>
          <w:noProof w:val="0"/>
          <w:rtl/>
        </w:rPr>
        <w:t>להידחות.</w:t>
      </w:r>
    </w:p>
    <w:p w:rsidR="00390D3A" w:rsidRDefault="00ED289C" w:rsidP="00390D3A">
      <w:pPr>
        <w:pStyle w:val="ad"/>
        <w:numPr>
          <w:ilvl w:val="0"/>
          <w:numId w:val="1"/>
        </w:numPr>
        <w:spacing w:line="360" w:lineRule="auto"/>
        <w:jc w:val="both"/>
        <w:rPr>
          <w:rFonts w:ascii="Arial" w:hAnsi="Arial"/>
          <w:noProof w:val="0"/>
        </w:rPr>
      </w:pPr>
      <w:r w:rsidRPr="00ED289C">
        <w:rPr>
          <w:rFonts w:ascii="Arial" w:hAnsi="Arial"/>
          <w:noProof w:val="0"/>
          <w:rtl/>
        </w:rPr>
        <w:t xml:space="preserve">לסיום </w:t>
      </w:r>
      <w:r>
        <w:rPr>
          <w:rFonts w:ascii="Arial" w:hAnsi="Arial" w:hint="cs"/>
          <w:noProof w:val="0"/>
          <w:rtl/>
        </w:rPr>
        <w:t>אבקש להבהיר, כי כלל החלטות ביהמ"ש</w:t>
      </w:r>
      <w:r w:rsidR="005A2653">
        <w:rPr>
          <w:rFonts w:ascii="Arial" w:hAnsi="Arial" w:hint="cs"/>
          <w:noProof w:val="0"/>
          <w:rtl/>
        </w:rPr>
        <w:t>, לרבות אלו</w:t>
      </w:r>
      <w:r>
        <w:rPr>
          <w:rFonts w:ascii="Arial" w:hAnsi="Arial" w:hint="cs"/>
          <w:noProof w:val="0"/>
          <w:rtl/>
        </w:rPr>
        <w:t xml:space="preserve"> שניתנו</w:t>
      </w:r>
      <w:r w:rsidR="005A2653">
        <w:rPr>
          <w:rFonts w:ascii="Arial" w:hAnsi="Arial" w:hint="cs"/>
          <w:noProof w:val="0"/>
          <w:rtl/>
        </w:rPr>
        <w:t xml:space="preserve"> ואלו שתינתנה בעתיד, יינתנו על בסיס טענות הצדדים</w:t>
      </w:r>
      <w:r w:rsidR="00390D3A">
        <w:rPr>
          <w:rFonts w:ascii="Arial" w:hAnsi="Arial" w:hint="cs"/>
          <w:noProof w:val="0"/>
          <w:rtl/>
        </w:rPr>
        <w:t>,</w:t>
      </w:r>
      <w:r w:rsidR="005A2653">
        <w:rPr>
          <w:rFonts w:ascii="Arial" w:hAnsi="Arial" w:hint="cs"/>
          <w:noProof w:val="0"/>
          <w:rtl/>
        </w:rPr>
        <w:t xml:space="preserve"> העובדות</w:t>
      </w:r>
      <w:r w:rsidR="00390D3A">
        <w:rPr>
          <w:rFonts w:ascii="Arial" w:hAnsi="Arial" w:hint="cs"/>
          <w:noProof w:val="0"/>
          <w:rtl/>
        </w:rPr>
        <w:t>, הראיות שיונחו בפניו,</w:t>
      </w:r>
      <w:r w:rsidR="005A2653">
        <w:rPr>
          <w:rFonts w:ascii="Arial" w:hAnsi="Arial" w:hint="cs"/>
          <w:noProof w:val="0"/>
          <w:rtl/>
        </w:rPr>
        <w:t xml:space="preserve"> הוראות הדין וההלכה הנוהגת, </w:t>
      </w:r>
      <w:r w:rsidR="00390D3A">
        <w:rPr>
          <w:rFonts w:ascii="Arial" w:hAnsi="Arial" w:hint="cs"/>
          <w:noProof w:val="0"/>
          <w:rtl/>
        </w:rPr>
        <w:t xml:space="preserve">והכל בלב שלם ובנפש חפצה </w:t>
      </w:r>
      <w:r w:rsidR="005A2653">
        <w:rPr>
          <w:rFonts w:ascii="Arial" w:hAnsi="Arial" w:hint="cs"/>
          <w:noProof w:val="0"/>
          <w:rtl/>
        </w:rPr>
        <w:t>כאשר דעתו של ביהמ"ש איננה נעולה ולבית המשפט אין כל עניין אישי אלא ב</w:t>
      </w:r>
      <w:r w:rsidR="00390D3A">
        <w:rPr>
          <w:rFonts w:ascii="Arial" w:hAnsi="Arial" w:hint="cs"/>
          <w:noProof w:val="0"/>
          <w:rtl/>
        </w:rPr>
        <w:t>חתירה</w:t>
      </w:r>
      <w:r w:rsidR="005A2653">
        <w:rPr>
          <w:rFonts w:ascii="Arial" w:hAnsi="Arial" w:hint="cs"/>
          <w:noProof w:val="0"/>
          <w:rtl/>
        </w:rPr>
        <w:t xml:space="preserve"> </w:t>
      </w:r>
      <w:r w:rsidR="00390D3A">
        <w:rPr>
          <w:rFonts w:ascii="Arial" w:hAnsi="Arial" w:hint="cs"/>
          <w:noProof w:val="0"/>
          <w:rtl/>
        </w:rPr>
        <w:t>ל</w:t>
      </w:r>
      <w:r w:rsidR="005A2653">
        <w:rPr>
          <w:rFonts w:ascii="Arial" w:hAnsi="Arial" w:hint="cs"/>
          <w:noProof w:val="0"/>
          <w:rtl/>
        </w:rPr>
        <w:t xml:space="preserve">משפט צדק ובהתאם כאמור להוראות הדין.  </w:t>
      </w:r>
    </w:p>
    <w:p w:rsidR="00736B93" w:rsidRDefault="00390D3A" w:rsidP="00736B93">
      <w:pPr>
        <w:pStyle w:val="ad"/>
        <w:numPr>
          <w:ilvl w:val="0"/>
          <w:numId w:val="1"/>
        </w:numPr>
        <w:spacing w:line="360" w:lineRule="auto"/>
        <w:jc w:val="both"/>
        <w:rPr>
          <w:rFonts w:ascii="Arial" w:hAnsi="Arial"/>
          <w:noProof w:val="0"/>
        </w:rPr>
      </w:pPr>
      <w:r>
        <w:rPr>
          <w:rFonts w:ascii="Arial" w:hAnsi="Arial" w:hint="cs"/>
          <w:noProof w:val="0"/>
          <w:rtl/>
        </w:rPr>
        <w:t xml:space="preserve">נוכח התוצאה אליה הגעתי אני מחייב המבקשת בהוצאות המשיב בסך 2,000 ₪ וזאת על דרך הצמצום, </w:t>
      </w:r>
      <w:r w:rsidR="00ED289C" w:rsidRPr="00390D3A">
        <w:rPr>
          <w:rFonts w:ascii="Arial" w:hAnsi="Arial"/>
          <w:noProof w:val="0"/>
          <w:rtl/>
        </w:rPr>
        <w:t xml:space="preserve">לפנים משורת הדין </w:t>
      </w:r>
      <w:r>
        <w:rPr>
          <w:rFonts w:ascii="Arial" w:hAnsi="Arial" w:hint="cs"/>
          <w:noProof w:val="0"/>
          <w:rtl/>
        </w:rPr>
        <w:t xml:space="preserve">אינני מחייבה בהוצאות גם לטובת אוצר המדינה </w:t>
      </w:r>
      <w:r w:rsidR="00ED289C" w:rsidRPr="00390D3A">
        <w:rPr>
          <w:rFonts w:ascii="Arial" w:hAnsi="Arial"/>
          <w:noProof w:val="0"/>
          <w:rtl/>
        </w:rPr>
        <w:t>ובהתחשב בטענות המבקש</w:t>
      </w:r>
      <w:r>
        <w:rPr>
          <w:rFonts w:ascii="Arial" w:hAnsi="Arial" w:hint="cs"/>
          <w:noProof w:val="0"/>
          <w:rtl/>
        </w:rPr>
        <w:t>ת</w:t>
      </w:r>
      <w:r w:rsidR="00736B93">
        <w:rPr>
          <w:rFonts w:ascii="Arial" w:hAnsi="Arial"/>
          <w:noProof w:val="0"/>
          <w:rtl/>
        </w:rPr>
        <w:t>, על המצוקה הכלכלית בה ה</w:t>
      </w:r>
      <w:r w:rsidR="00736B93">
        <w:rPr>
          <w:rFonts w:ascii="Arial" w:hAnsi="Arial" w:hint="cs"/>
          <w:noProof w:val="0"/>
          <w:rtl/>
        </w:rPr>
        <w:t>י</w:t>
      </w:r>
      <w:r w:rsidR="00ED289C" w:rsidRPr="00390D3A">
        <w:rPr>
          <w:rFonts w:ascii="Arial" w:hAnsi="Arial"/>
          <w:noProof w:val="0"/>
          <w:rtl/>
        </w:rPr>
        <w:t>א שרוי</w:t>
      </w:r>
      <w:r w:rsidR="00736B93">
        <w:rPr>
          <w:rFonts w:ascii="Arial" w:hAnsi="Arial" w:hint="cs"/>
          <w:noProof w:val="0"/>
          <w:rtl/>
        </w:rPr>
        <w:t>ה</w:t>
      </w:r>
      <w:r w:rsidR="00ED289C" w:rsidRPr="00390D3A">
        <w:rPr>
          <w:rFonts w:ascii="Arial" w:hAnsi="Arial"/>
          <w:noProof w:val="0"/>
          <w:rtl/>
        </w:rPr>
        <w:t>.</w:t>
      </w:r>
    </w:p>
    <w:p w:rsidR="00694556" w:rsidRPr="00736B93" w:rsidRDefault="00ED289C" w:rsidP="00736B93">
      <w:pPr>
        <w:pStyle w:val="ad"/>
        <w:numPr>
          <w:ilvl w:val="0"/>
          <w:numId w:val="1"/>
        </w:numPr>
        <w:spacing w:line="360" w:lineRule="auto"/>
        <w:jc w:val="both"/>
        <w:rPr>
          <w:rFonts w:ascii="Arial" w:hAnsi="Arial"/>
          <w:noProof w:val="0"/>
          <w:rtl/>
        </w:rPr>
      </w:pPr>
      <w:r w:rsidRPr="00736B93">
        <w:rPr>
          <w:rFonts w:ascii="Arial" w:hAnsi="Arial"/>
          <w:noProof w:val="0"/>
          <w:rtl/>
        </w:rPr>
        <w:t>ה</w:t>
      </w:r>
      <w:r w:rsidR="00736B93">
        <w:rPr>
          <w:rFonts w:ascii="Arial" w:hAnsi="Arial"/>
          <w:noProof w:val="0"/>
          <w:rtl/>
        </w:rPr>
        <w:t>מזכירות תשלח החלטתי לב"כ הצדדים</w:t>
      </w:r>
      <w:r w:rsidR="00736B93">
        <w:rPr>
          <w:rFonts w:ascii="Arial" w:hAnsi="Arial" w:hint="cs"/>
          <w:noProof w:val="0"/>
          <w:rtl/>
        </w:rPr>
        <w:t>.</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יוני 2024</w:t>
          </w:r>
        </w:sdtContent>
      </w:sdt>
      <w:r w:rsidR="00005C8B">
        <w:rPr>
          <w:rFonts w:ascii="Arial" w:hAnsi="Arial"/>
          <w:noProof w:val="0"/>
          <w:rtl/>
        </w:rPr>
        <w:t>, בהעדר הצדדים.</w:t>
      </w:r>
    </w:p>
    <w:p w:rsidR="00C43648" w:rsidRDefault="000721D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5673627"/>
        </w:sdtPr>
        <w:sdtEndPr/>
        <w:sdtContent>
          <w:r w:rsidR="00070EE7">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1D7" w:rsidRDefault="000721D7">
      <w:r>
        <w:separator/>
      </w:r>
    </w:p>
  </w:endnote>
  <w:endnote w:type="continuationSeparator" w:id="0">
    <w:p w:rsidR="000721D7" w:rsidRDefault="0007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240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2408">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1D7" w:rsidRDefault="000721D7">
      <w:r>
        <w:separator/>
      </w:r>
    </w:p>
  </w:footnote>
  <w:footnote w:type="continuationSeparator" w:id="0">
    <w:p w:rsidR="000721D7" w:rsidRDefault="00072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721D7" w:rsidP="0078394D">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78394D">
                <w:rPr>
                  <w:b/>
                  <w:bCs/>
                  <w:noProof w:val="0"/>
                  <w:sz w:val="26"/>
                  <w:szCs w:val="26"/>
                </w:rPr>
                <w:t>23</w:t>
              </w:r>
              <w:r w:rsidR="00064651">
                <w:rPr>
                  <w:b/>
                  <w:bCs/>
                  <w:noProof w:val="0"/>
                  <w:sz w:val="26"/>
                  <w:szCs w:val="26"/>
                  <w:rtl/>
                </w:rPr>
                <w:t>-</w:t>
              </w:r>
              <w:r w:rsidR="0078394D">
                <w:rPr>
                  <w:b/>
                  <w:bCs/>
                  <w:noProof w:val="0"/>
                  <w:sz w:val="26"/>
                  <w:szCs w:val="26"/>
                </w:rPr>
                <w:t>08</w:t>
              </w:r>
              <w:r w:rsidR="00064651">
                <w:rPr>
                  <w:b/>
                  <w:bCs/>
                  <w:noProof w:val="0"/>
                  <w:sz w:val="26"/>
                  <w:szCs w:val="26"/>
                  <w:rtl/>
                </w:rPr>
                <w:t>-</w:t>
              </w:r>
              <w:r w:rsidR="0078394D">
                <w:rPr>
                  <w:b/>
                  <w:bCs/>
                  <w:noProof w:val="0"/>
                  <w:sz w:val="26"/>
                  <w:szCs w:val="26"/>
                </w:rPr>
                <w:t>15866</w:t>
              </w:r>
            </w:sdtContent>
          </w:sdt>
          <w:r w:rsidR="00005C8B">
            <w:rPr>
              <w:b/>
              <w:bCs/>
              <w:noProof w:val="0"/>
              <w:sz w:val="26"/>
              <w:szCs w:val="26"/>
              <w:rtl/>
            </w:rPr>
            <w:t xml:space="preserve"> </w:t>
          </w:r>
          <w:sdt>
            <w:sdtPr>
              <w:rPr>
                <w:rtl/>
              </w:rPr>
              <w:alias w:val="1172"/>
              <w:tag w:val="1172"/>
              <w:id w:val="-595170033"/>
              <w:text w:multiLine="1"/>
            </w:sdtPr>
            <w:sdtEndPr/>
            <w:sdtContent>
              <w:r w:rsidR="00070EE7">
                <w:rPr>
                  <w:rFonts w:hint="cs"/>
                  <w:b/>
                  <w:bCs/>
                  <w:noProof w:val="0"/>
                  <w:sz w:val="26"/>
                  <w:szCs w:val="26"/>
                </w:rPr>
                <w:t>XXX</w:t>
              </w:r>
              <w:r w:rsidR="00064651">
                <w:rPr>
                  <w:b/>
                  <w:bCs/>
                  <w:noProof w:val="0"/>
                  <w:sz w:val="26"/>
                  <w:szCs w:val="26"/>
                  <w:rtl/>
                </w:rPr>
                <w:t xml:space="preserve"> נ' </w:t>
              </w:r>
              <w:r w:rsidR="00070EE7">
                <w:rPr>
                  <w:rFonts w:hint="cs"/>
                  <w:b/>
                  <w:bCs/>
                  <w:noProof w:val="0"/>
                  <w:sz w:val="26"/>
                  <w:szCs w:val="26"/>
                </w:rPr>
                <w:t>XXX</w:t>
              </w:r>
              <w:r w:rsidR="00064651">
                <w:rPr>
                  <w:b/>
                  <w:bCs/>
                  <w:noProof w:val="0"/>
                  <w:sz w:val="26"/>
                  <w:szCs w:val="26"/>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62965"/>
    <w:multiLevelType w:val="hybridMultilevel"/>
    <w:tmpl w:val="2B8CED20"/>
    <w:lvl w:ilvl="0" w:tplc="AB3A62F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D73E1"/>
    <w:multiLevelType w:val="hybridMultilevel"/>
    <w:tmpl w:val="063478BC"/>
    <w:lvl w:ilvl="0" w:tplc="B214485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C761A0"/>
    <w:multiLevelType w:val="hybridMultilevel"/>
    <w:tmpl w:val="D706C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962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96278&amp;lt;/CaseID&amp;gt;_x000d__x000a_        &amp;lt;CaseMonth&amp;gt;8&amp;lt;/CaseMonth&amp;gt;_x000d__x000a_        &amp;lt;CaseYear&amp;gt;2023&amp;lt;/CaseYear&amp;gt;_x000d__x000a_        &amp;lt;CaseNumber&amp;gt;15866&amp;lt;/CaseNumber&amp;gt;_x000d__x000a_        &amp;lt;NumeratorGroupID&amp;gt;1&amp;lt;/NumeratorGroupID&amp;gt;_x000d__x000a_        &amp;lt;CaseName&amp;gt;גורדון נ&amp;#39; בירגר גורדון&amp;lt;/CaseName&amp;gt;_x000d__x000a_        &amp;lt;CourtID&amp;gt;41&amp;lt;/CourtID&amp;gt;_x000d__x000a_        &amp;lt;CaseTypeID&amp;gt;10262&amp;lt;/CaseTypeID&amp;gt;_x000d__x000a_        &amp;lt;CaseInterestID&amp;gt;10510&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866-08-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8-07T12:0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היום נשלחה לפרח מהסיוע המשפטי._x000d__x000a__x000d__x000a_30.8.23 לורי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96278&amp;lt;/CaseID&amp;gt;_x000d__x000a_        &amp;lt;CaseMonth&amp;gt;8&amp;lt;/CaseMonth&amp;gt;_x000d__x000a_        &amp;lt;CaseYear&amp;gt;2023&amp;lt;/CaseYear&amp;gt;_x000d__x000a_        &amp;lt;CaseNumber&amp;gt;15866&amp;lt;/CaseNumber&amp;gt;_x000d__x000a_        &amp;lt;NumeratorGroupID&amp;gt;1&amp;lt;/NumeratorGroupID&amp;gt;_x000d__x000a_        &amp;lt;CaseName&amp;gt;גורדון נ&amp;#39; בירגר גורדון&amp;lt;/CaseName&amp;gt;_x000d__x000a_        &amp;lt;CourtID&amp;gt;41&amp;lt;/CourtID&amp;gt;_x000d__x000a_        &amp;lt;CaseTypeID&amp;gt;10262&amp;lt;/CaseTypeID&amp;gt;_x000d__x000a_        &amp;lt;CaseInterestID&amp;gt;10510&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866-08-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08-07T12:0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היום נשלחה לפרח מהסיוע המשפטי._x000d__x000a__x000d__x000a_30.8.23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67264&amp;lt;/DecisionID&amp;gt;_x000d__x000a_        &amp;lt;DecisionNumber&amp;gt;15&amp;lt;/DecisionNumber&amp;gt;_x000d__x000a_        &amp;lt;DecisionName&amp;gt;החלטה על בקשה של נתבע 1 בקשה לפסילת שופט בכל ההליכים בין הצדדים &amp;lt;/DecisionName&amp;gt;_x000d__x000a_        &amp;lt;DecisionStatusID&amp;gt;1&amp;lt;/DecisionStatusID&amp;gt;_x000d__x000a_        &amp;lt;DecisionStatusChangeDate&amp;gt;2024-06-02T20:49:05.39+03:00&amp;lt;/DecisionStatusChangeDate&amp;gt;_x000d__x000a_        &amp;lt;DecisionSignatureDate&amp;gt;2024-06-02T20:49:04.497+03:00&amp;lt;/DecisionSignatureDate&amp;gt;_x000d__x000a_        &amp;lt;DecisionSignatureUserID&amp;gt;033072794@GOV.IL&amp;lt;/DecisionSignatureUserID&amp;gt;_x000d__x000a_        &amp;lt;DecisionCreateDate&amp;gt;2024-05-21T10:14:28.077+03:00&amp;lt;/DecisionCreateDate&amp;gt;_x000d__x000a_        &amp;lt;DecisionChangeDate&amp;gt;2024-06-02T20:49:05.357+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5497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072794@GOV.IL&amp;lt;/DecisionCreationUserID&amp;gt;_x000d__x000a_        &amp;lt;DecisionDisplayName&amp;gt;החלטה על בקשה של נתבע 1 בקשה לפסילת שופט בכל ההליכים בין הצדדים &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4&amp;lt;/DecisionNumberInCase&amp;gt;_x000d__x000a_      &amp;lt;/dt_Decision&amp;gt;_x000d__x000a_      &amp;lt;dt_DecisionCase diffgr:id=&amp;quot;dt_DecisionCase1&amp;quot; msdata:rowOrder=&amp;quot;0&amp;quot;&amp;gt;_x000d__x000a_        &amp;lt;DecisionID&amp;gt;151767264&amp;lt;/DecisionID&amp;gt;_x000d__x000a_        &amp;lt;CaseID&amp;gt;80496278&amp;lt;/CaseID&amp;gt;_x000d__x000a_        &amp;lt;IsOriginal&amp;gt;true&amp;lt;/IsOriginal&amp;gt;_x000d__x000a_        &amp;lt;IsDeleted&amp;gt;false&amp;lt;/IsDeleted&amp;gt;_x000d__x000a_        &amp;lt;CaseName&amp;gt;גורדון נ&amp;#39; בירגר גורדון&amp;lt;/CaseName&amp;gt;_x000d__x000a_        &amp;lt;CaseDisplayIdentifier&amp;gt;15866-08-23 תלה&amp;quot;מ&amp;lt;/CaseDisplayIdentifier&amp;gt;_x000d__x000a_      &amp;lt;/dt_DecisionCase&amp;gt;_x000d__x000a_      &amp;lt;dt_DecisionMotion diffgr:id=&amp;quot;dt_DecisionMotion1&amp;quot; msdata:rowOrder=&amp;quot;0&amp;quot;&amp;gt;_x000d__x000a_        &amp;lt;DecisionID&amp;gt;151767264&amp;lt;/DecisionID&amp;gt;_x000d__x000a_        &amp;lt;MotionID&amp;gt;107954543&amp;lt;/MotionID&amp;gt;_x000d__x000a_        &amp;lt;IsOriginalMotion&amp;gt;true&amp;lt;/IsOriginalMotion&amp;gt;_x000d__x000a_        &amp;lt;MotionName&amp;gt;בקשה של נתבע 1 בקשה לפסילת שופט בכל ההליכים בין הצדדים &amp;lt;/MotionName&amp;gt;_x000d__x000a_        &amp;lt;MotionOpenDate&amp;gt;2024-05-08T13:40:37.187+03:00&amp;lt;/MotionOpenDate&amp;gt;_x000d__x000a_        &amp;lt;CaseID&amp;gt;80496278&amp;lt;/CaseID&amp;gt;_x000d__x000a_        &amp;lt;CaseDisplayIdentifier&amp;gt;15866-08-23 תלה&amp;quot;מ&amp;lt;/CaseDisplayIdentifier&amp;gt;_x000d__x000a_        &amp;lt;ProcessNumber&amp;gt;15&amp;lt;/ProcessNumber&amp;gt;_x000d__x000a_        &amp;lt;ListOfProcessIds&amp;gt;15&amp;lt;/ListOfProcessIds&amp;gt;_x000d__x000a_      &amp;lt;/dt_DecisionMotion&amp;gt;_x000d__x000a_    &amp;lt;/DecisionDS&amp;gt;_x000d__x000a_  &amp;lt;/diffgr:diffgram&amp;gt;_x000d__x000a_&amp;lt;/DecisionDS&amp;gt;"/>
    <w:docVar w:name="DecisionID" w:val="151767264"/>
    <w:docVar w:name="WordClientAssemblyName" w:val="NGCS.Decision.ClientWordBL"/>
    <w:docVar w:name="WordClientClassName" w:val="NGCS.Decision.ClientWordBL.DecisionClient"/>
  </w:docVars>
  <w:rsids>
    <w:rsidRoot w:val="00694556"/>
    <w:rsid w:val="00000062"/>
    <w:rsid w:val="0000226B"/>
    <w:rsid w:val="00005C8B"/>
    <w:rsid w:val="000229A1"/>
    <w:rsid w:val="000406BE"/>
    <w:rsid w:val="000529D2"/>
    <w:rsid w:val="000564AB"/>
    <w:rsid w:val="00064651"/>
    <w:rsid w:val="00064FBD"/>
    <w:rsid w:val="00070EE7"/>
    <w:rsid w:val="000721D7"/>
    <w:rsid w:val="00082AB2"/>
    <w:rsid w:val="000906FE"/>
    <w:rsid w:val="00096AF7"/>
    <w:rsid w:val="000A5265"/>
    <w:rsid w:val="000B031A"/>
    <w:rsid w:val="000B344B"/>
    <w:rsid w:val="000B44E5"/>
    <w:rsid w:val="000C3B0F"/>
    <w:rsid w:val="000C3B60"/>
    <w:rsid w:val="000E0DD2"/>
    <w:rsid w:val="000E3AF1"/>
    <w:rsid w:val="000F0BC8"/>
    <w:rsid w:val="000F0DD6"/>
    <w:rsid w:val="000F1B3E"/>
    <w:rsid w:val="00107E6D"/>
    <w:rsid w:val="0011194C"/>
    <w:rsid w:val="0011424C"/>
    <w:rsid w:val="001173C6"/>
    <w:rsid w:val="001250F1"/>
    <w:rsid w:val="001367BC"/>
    <w:rsid w:val="00144D2A"/>
    <w:rsid w:val="0014653E"/>
    <w:rsid w:val="00180519"/>
    <w:rsid w:val="001855F6"/>
    <w:rsid w:val="00191C82"/>
    <w:rsid w:val="001B2AC4"/>
    <w:rsid w:val="001B48DF"/>
    <w:rsid w:val="001C1BFA"/>
    <w:rsid w:val="001C4003"/>
    <w:rsid w:val="001D4DBF"/>
    <w:rsid w:val="001E75CA"/>
    <w:rsid w:val="001F3E04"/>
    <w:rsid w:val="0021573B"/>
    <w:rsid w:val="0022232B"/>
    <w:rsid w:val="002265FF"/>
    <w:rsid w:val="00234943"/>
    <w:rsid w:val="002523F1"/>
    <w:rsid w:val="00271B56"/>
    <w:rsid w:val="002813B9"/>
    <w:rsid w:val="0028443A"/>
    <w:rsid w:val="002A4009"/>
    <w:rsid w:val="002C344E"/>
    <w:rsid w:val="002C3F4A"/>
    <w:rsid w:val="002E75E9"/>
    <w:rsid w:val="00307A6A"/>
    <w:rsid w:val="00307C40"/>
    <w:rsid w:val="00320433"/>
    <w:rsid w:val="003230C7"/>
    <w:rsid w:val="00327E50"/>
    <w:rsid w:val="0033597A"/>
    <w:rsid w:val="00340561"/>
    <w:rsid w:val="00343D89"/>
    <w:rsid w:val="00345508"/>
    <w:rsid w:val="00345B66"/>
    <w:rsid w:val="00350292"/>
    <w:rsid w:val="00362612"/>
    <w:rsid w:val="00362D3D"/>
    <w:rsid w:val="00362D6A"/>
    <w:rsid w:val="0036743F"/>
    <w:rsid w:val="003715DD"/>
    <w:rsid w:val="003823E0"/>
    <w:rsid w:val="00390D3A"/>
    <w:rsid w:val="003A4521"/>
    <w:rsid w:val="003D1C8C"/>
    <w:rsid w:val="003D2B2D"/>
    <w:rsid w:val="003E42D1"/>
    <w:rsid w:val="0040096C"/>
    <w:rsid w:val="00401422"/>
    <w:rsid w:val="00414F1F"/>
    <w:rsid w:val="00430918"/>
    <w:rsid w:val="0043125D"/>
    <w:rsid w:val="00432144"/>
    <w:rsid w:val="00433AC0"/>
    <w:rsid w:val="0043502B"/>
    <w:rsid w:val="004443AC"/>
    <w:rsid w:val="00444B02"/>
    <w:rsid w:val="00451E28"/>
    <w:rsid w:val="00462C62"/>
    <w:rsid w:val="00465D36"/>
    <w:rsid w:val="004A3EFE"/>
    <w:rsid w:val="004C17EE"/>
    <w:rsid w:val="004C4BDF"/>
    <w:rsid w:val="004D1187"/>
    <w:rsid w:val="004D3AA0"/>
    <w:rsid w:val="004E1987"/>
    <w:rsid w:val="004E2E15"/>
    <w:rsid w:val="004E6E3C"/>
    <w:rsid w:val="00520898"/>
    <w:rsid w:val="00523621"/>
    <w:rsid w:val="00524986"/>
    <w:rsid w:val="005268F6"/>
    <w:rsid w:val="00534284"/>
    <w:rsid w:val="00545B76"/>
    <w:rsid w:val="00547DB7"/>
    <w:rsid w:val="00551965"/>
    <w:rsid w:val="00567F85"/>
    <w:rsid w:val="005967C7"/>
    <w:rsid w:val="005A2653"/>
    <w:rsid w:val="005B427F"/>
    <w:rsid w:val="005C47EF"/>
    <w:rsid w:val="005D2408"/>
    <w:rsid w:val="005D79FB"/>
    <w:rsid w:val="005E5308"/>
    <w:rsid w:val="005F2CA3"/>
    <w:rsid w:val="005F4F09"/>
    <w:rsid w:val="0061431B"/>
    <w:rsid w:val="00622BAA"/>
    <w:rsid w:val="006306CF"/>
    <w:rsid w:val="00644E9A"/>
    <w:rsid w:val="00671BD5"/>
    <w:rsid w:val="00671D10"/>
    <w:rsid w:val="006805C1"/>
    <w:rsid w:val="00685658"/>
    <w:rsid w:val="00686C21"/>
    <w:rsid w:val="006931C1"/>
    <w:rsid w:val="00694556"/>
    <w:rsid w:val="006C30C5"/>
    <w:rsid w:val="006C4820"/>
    <w:rsid w:val="006D3B31"/>
    <w:rsid w:val="006E0D96"/>
    <w:rsid w:val="006E1A53"/>
    <w:rsid w:val="006F56E6"/>
    <w:rsid w:val="006F66F0"/>
    <w:rsid w:val="00704EDA"/>
    <w:rsid w:val="00721122"/>
    <w:rsid w:val="00730923"/>
    <w:rsid w:val="00736B93"/>
    <w:rsid w:val="00753019"/>
    <w:rsid w:val="00754801"/>
    <w:rsid w:val="00761441"/>
    <w:rsid w:val="0078394D"/>
    <w:rsid w:val="00795365"/>
    <w:rsid w:val="007A351D"/>
    <w:rsid w:val="007B7765"/>
    <w:rsid w:val="007C07E2"/>
    <w:rsid w:val="007C1406"/>
    <w:rsid w:val="007C5BDD"/>
    <w:rsid w:val="007D45E3"/>
    <w:rsid w:val="007E6115"/>
    <w:rsid w:val="007E6785"/>
    <w:rsid w:val="007F4609"/>
    <w:rsid w:val="00814468"/>
    <w:rsid w:val="008176A1"/>
    <w:rsid w:val="00820005"/>
    <w:rsid w:val="00836BD8"/>
    <w:rsid w:val="0083702B"/>
    <w:rsid w:val="00840093"/>
    <w:rsid w:val="00844318"/>
    <w:rsid w:val="0086061C"/>
    <w:rsid w:val="00863F5D"/>
    <w:rsid w:val="00870890"/>
    <w:rsid w:val="00873602"/>
    <w:rsid w:val="00875D12"/>
    <w:rsid w:val="00881CCE"/>
    <w:rsid w:val="0088479D"/>
    <w:rsid w:val="008916F7"/>
    <w:rsid w:val="0089428C"/>
    <w:rsid w:val="00896889"/>
    <w:rsid w:val="00897DAF"/>
    <w:rsid w:val="008A0A18"/>
    <w:rsid w:val="008A1192"/>
    <w:rsid w:val="008C3B96"/>
    <w:rsid w:val="008C5714"/>
    <w:rsid w:val="008D10B2"/>
    <w:rsid w:val="008E0EAD"/>
    <w:rsid w:val="00903896"/>
    <w:rsid w:val="00906F3D"/>
    <w:rsid w:val="00926412"/>
    <w:rsid w:val="0094424E"/>
    <w:rsid w:val="00944EE7"/>
    <w:rsid w:val="00955642"/>
    <w:rsid w:val="009622DF"/>
    <w:rsid w:val="0096493F"/>
    <w:rsid w:val="00967DFF"/>
    <w:rsid w:val="00973267"/>
    <w:rsid w:val="00986C00"/>
    <w:rsid w:val="00994341"/>
    <w:rsid w:val="00996935"/>
    <w:rsid w:val="009D06BA"/>
    <w:rsid w:val="009D1A48"/>
    <w:rsid w:val="009E1CE7"/>
    <w:rsid w:val="009E1E43"/>
    <w:rsid w:val="009E351B"/>
    <w:rsid w:val="009E4EA5"/>
    <w:rsid w:val="009F164B"/>
    <w:rsid w:val="009F323C"/>
    <w:rsid w:val="009F4269"/>
    <w:rsid w:val="009F4B4A"/>
    <w:rsid w:val="00A20D51"/>
    <w:rsid w:val="00A3392B"/>
    <w:rsid w:val="00A6562A"/>
    <w:rsid w:val="00A85E34"/>
    <w:rsid w:val="00A924C9"/>
    <w:rsid w:val="00A94B64"/>
    <w:rsid w:val="00A96713"/>
    <w:rsid w:val="00AA3229"/>
    <w:rsid w:val="00AA7596"/>
    <w:rsid w:val="00AB56B4"/>
    <w:rsid w:val="00AB5E52"/>
    <w:rsid w:val="00AC1527"/>
    <w:rsid w:val="00AC30D6"/>
    <w:rsid w:val="00AC3B02"/>
    <w:rsid w:val="00AC3B7B"/>
    <w:rsid w:val="00AC5209"/>
    <w:rsid w:val="00AD0B88"/>
    <w:rsid w:val="00AD397E"/>
    <w:rsid w:val="00AE0E34"/>
    <w:rsid w:val="00AE6302"/>
    <w:rsid w:val="00AE729E"/>
    <w:rsid w:val="00AE7752"/>
    <w:rsid w:val="00AF1304"/>
    <w:rsid w:val="00AF7FDA"/>
    <w:rsid w:val="00B473C2"/>
    <w:rsid w:val="00B5356E"/>
    <w:rsid w:val="00B63FC2"/>
    <w:rsid w:val="00B71620"/>
    <w:rsid w:val="00B72AC6"/>
    <w:rsid w:val="00B7303A"/>
    <w:rsid w:val="00B809AD"/>
    <w:rsid w:val="00B80CBD"/>
    <w:rsid w:val="00B86096"/>
    <w:rsid w:val="00B964D9"/>
    <w:rsid w:val="00BA0A7C"/>
    <w:rsid w:val="00BA517C"/>
    <w:rsid w:val="00BB3D05"/>
    <w:rsid w:val="00BB3D56"/>
    <w:rsid w:val="00BB73BE"/>
    <w:rsid w:val="00BC2D89"/>
    <w:rsid w:val="00BC36E9"/>
    <w:rsid w:val="00BD6531"/>
    <w:rsid w:val="00BE05B2"/>
    <w:rsid w:val="00BF1452"/>
    <w:rsid w:val="00BF1908"/>
    <w:rsid w:val="00BF541A"/>
    <w:rsid w:val="00C01005"/>
    <w:rsid w:val="00C07C6E"/>
    <w:rsid w:val="00C22D93"/>
    <w:rsid w:val="00C23458"/>
    <w:rsid w:val="00C2634D"/>
    <w:rsid w:val="00C31120"/>
    <w:rsid w:val="00C34482"/>
    <w:rsid w:val="00C43648"/>
    <w:rsid w:val="00C50A9F"/>
    <w:rsid w:val="00C52FBC"/>
    <w:rsid w:val="00C626AA"/>
    <w:rsid w:val="00C62ACB"/>
    <w:rsid w:val="00C642FA"/>
    <w:rsid w:val="00CA3759"/>
    <w:rsid w:val="00CC7622"/>
    <w:rsid w:val="00CD608F"/>
    <w:rsid w:val="00CF09E0"/>
    <w:rsid w:val="00CF6BB7"/>
    <w:rsid w:val="00D04AA4"/>
    <w:rsid w:val="00D27982"/>
    <w:rsid w:val="00D307CE"/>
    <w:rsid w:val="00D33B86"/>
    <w:rsid w:val="00D4125F"/>
    <w:rsid w:val="00D44968"/>
    <w:rsid w:val="00D45535"/>
    <w:rsid w:val="00D53924"/>
    <w:rsid w:val="00D55D0C"/>
    <w:rsid w:val="00D5628B"/>
    <w:rsid w:val="00D62B08"/>
    <w:rsid w:val="00D81021"/>
    <w:rsid w:val="00D82966"/>
    <w:rsid w:val="00D96D8C"/>
    <w:rsid w:val="00DA6649"/>
    <w:rsid w:val="00DB75F3"/>
    <w:rsid w:val="00DC1259"/>
    <w:rsid w:val="00DC1BD2"/>
    <w:rsid w:val="00DC2571"/>
    <w:rsid w:val="00DC487C"/>
    <w:rsid w:val="00DE1E7D"/>
    <w:rsid w:val="00DE6BF6"/>
    <w:rsid w:val="00E04E84"/>
    <w:rsid w:val="00E1068A"/>
    <w:rsid w:val="00E25884"/>
    <w:rsid w:val="00E25B55"/>
    <w:rsid w:val="00E31C2B"/>
    <w:rsid w:val="00E47A2E"/>
    <w:rsid w:val="00E5426A"/>
    <w:rsid w:val="00E54642"/>
    <w:rsid w:val="00E54CD9"/>
    <w:rsid w:val="00E80CBE"/>
    <w:rsid w:val="00E962E3"/>
    <w:rsid w:val="00EB6C79"/>
    <w:rsid w:val="00EC1FAA"/>
    <w:rsid w:val="00EC37E9"/>
    <w:rsid w:val="00ED289C"/>
    <w:rsid w:val="00EF5F33"/>
    <w:rsid w:val="00EF6DB7"/>
    <w:rsid w:val="00F038D8"/>
    <w:rsid w:val="00F06995"/>
    <w:rsid w:val="00F13623"/>
    <w:rsid w:val="00F1664E"/>
    <w:rsid w:val="00F44D1D"/>
    <w:rsid w:val="00F53FCE"/>
    <w:rsid w:val="00F84B6D"/>
    <w:rsid w:val="00F957E8"/>
    <w:rsid w:val="00F96C45"/>
    <w:rsid w:val="00F9741B"/>
    <w:rsid w:val="00FA311A"/>
    <w:rsid w:val="00FA5FDA"/>
    <w:rsid w:val="00FB270D"/>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44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34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583801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F30AC" w:rsidP="008F30A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5708"/>
    <w:rsid w:val="002A56A9"/>
    <w:rsid w:val="002D02C4"/>
    <w:rsid w:val="00345C9D"/>
    <w:rsid w:val="00405FEA"/>
    <w:rsid w:val="004745AE"/>
    <w:rsid w:val="0048651F"/>
    <w:rsid w:val="005157ED"/>
    <w:rsid w:val="00556D67"/>
    <w:rsid w:val="00746837"/>
    <w:rsid w:val="00793995"/>
    <w:rsid w:val="007C6F98"/>
    <w:rsid w:val="007E254A"/>
    <w:rsid w:val="0086433F"/>
    <w:rsid w:val="008B4366"/>
    <w:rsid w:val="008F30AC"/>
    <w:rsid w:val="009133C7"/>
    <w:rsid w:val="009178E4"/>
    <w:rsid w:val="00961B27"/>
    <w:rsid w:val="00990020"/>
    <w:rsid w:val="00AA7CE3"/>
    <w:rsid w:val="00B42D7E"/>
    <w:rsid w:val="00B45677"/>
    <w:rsid w:val="00B91FA3"/>
    <w:rsid w:val="00BE6557"/>
    <w:rsid w:val="00C96C06"/>
    <w:rsid w:val="00DF369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F30A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260071117</CasePartyID>
        <PartyTypeID>2</PartyTypeID>
        <ActivityStatusID>1</ActivityStatusID>
        <PartyAliasID>105</PartyAliasID>
        <PartyAliasName>בא כוח מסייעים</PartyAliasName>
        <LegalEntityID>69484296</LegalEntityID>
        <CaseLegalEntityID>125785861</CaseLegalEntityID>
        <AuthenticationTypeID>4</AuthenticationTypeID>
        <AuthenticationTypeName>מ.ר.</AuthenticationTypeName>
        <LegalEntityNumber>54385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אסתרה בירגר גורדון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259471479</CasePartyID>
        <PartyTypeID>2</PartyTypeID>
        <ActivityStatusID>1</ActivityStatusID>
        <PartyAliasID>21</PartyAliasID>
        <PartyAliasName>בא כוח נתבעים</PartyAliasName>
        <LegalEntityID>78849107</LegalEntityID>
        <CaseLegalEntityID>125565330</CaseLegalEntityID>
        <AuthenticationTypeID>4</AuthenticationTypeID>
        <AuthenticationTypeName>מ.ר.</AuthenticationTypeName>
        <LegalEntityNumber>81526</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259241735</CasePartyID>
        <PartyTypeID>3</PartyTypeID>
        <ActivityStatusID>1</ActivityStatusID>
        <LegalEntityID>45212140</LegalEntityID>
        <CaseLegalEntityID>125472887</CaseLegalEntityID>
        <AssistantRoleID>33</AssistantRoleID>
        <AuthenticationTypeID>14</AuthenticationTypeID>
        <AuthenticationTypeName>רשויות מקומיות</AuthenticationTypeName>
        <LegalEntityNumber>10000000375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רומי בירגר גורדון (קטין)</FullName>
        <FirstName>רומי</FirstName>
        <LastName>בירגר גורדון</LastName>
        <PartyPropertyID>2</PartyPropertyID>
        <PartyPropertyName/>
        <AuthenticationTypeAndNumber>ת"ז 222024218</AuthenticationTypeAndNumber>
        <RepresentatedOrRepresentativesNames>נטע ממן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259241813</CasePartyID>
        <PartyTypeID>3</PartyTypeID>
        <ActivityStatusID>1</ActivityStatusID>
        <LegalEntityID>81276167</LegalEntityID>
        <CaseLegalEntityID>125472927</CaseLegalEntityID>
        <AssistantRoleID>24</AssistantRoleID>
        <AuthenticationTypeID>1</AuthenticationTypeID>
        <AuthenticationTypeName>ת"ז</AuthenticationTypeName>
        <LegalEntityNumber>222024218</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
        <MotionID>0</MotionID>
        <CasePleaID>0</CasePleaID>
        <BirthDate>2013-02-06T00:00:00+02:00</BirthDate>
        <FatherName>מרק</FatherName>
        <LinkedCaseID>0</LinkedCaseID>
        <PartyID>1</PartyID>
        <CasePartyCategoryID>2</CasePartyCategoryID>
        <PleaTypeID>4</PleaTypeID>
        <GroupPartyAlias/>
        <IsConverted>false</IsConverted>
        <LegalEntityRegisteredNameID>10380006</LegalEntityRegisteredNameID>
        <LegalEntityNameID>95292117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רומי בירגר גורדון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259994876</CasePartyID>
        <PartyTypeID>3</PartyTypeID>
        <ActivityStatusID>1</ActivityStatusID>
        <LegalEntityID>45305358</LegalEntityID>
        <CaseLegalEntityID>125758184</CaseLegalEntityID>
        <AssistantRoleID>26</AssistantRoleID>
        <AuthenticationTypeID>13</AuthenticationTypeID>
        <AuthenticationTypeName>משרדי ממשלה</AuthenticationTypeName>
        <LegalEntityNumber>570000935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ד' באר שבע (ליאת ממן)</FullName>
        <LastName>מחלקה לשירותים חברתיים ד' באר שבע (ליאת ממן)</LastName>
        <PartyPropertyName/>
        <AuthenticationTypeAndNumber>רשויות מקומיות 10000000415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260284584</CasePartyID>
        <PartyTypeID>3</PartyTypeID>
        <ActivityStatusID>1</ActivityStatusID>
        <LegalEntityID>45228030</LegalEntityID>
        <CaseLegalEntityID>125853243</CaseLegalEntityID>
        <AssistantRoleID>16</AssistantRoleID>
        <AuthenticationTypeID>14</AuthenticationTypeID>
        <AuthenticationTypeName>רשויות מקומיות</AuthenticationTypeName>
        <LegalEntityNumber>10000000415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ד' רבתי באר שבע </FullAddress>
        <EmailAddress>liatm2@br7.org.il</EmailAddress>
        <MotionID>0</MotionID>
        <CasePleaID>0</CasePleaID>
        <LinkedCaseID>0</LinkedCaseID>
        <PartyID>1</PartyID>
        <CasePartyCategoryID>2</CasePartyCategoryID>
        <LegalEntityAddressID>45781384</LegalEntityAddressID>
        <LegalEntityEmailAddressID>67868648</LegalEntityEmailAddressID>
        <PleaTypeID>4</PleaTypeID>
        <GroupPartyAlias/>
        <IsConverted>false</IsConverted>
        <LegalEntityRegisteredNameID>1949414</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ד' באר שבע (ליאת ממן)</PublicationProhibitedFullName>
      </CaseParties>
      <CaseParties>
        <PartyTypeName>צד</PartyTypeName>
        <ProceedingType>בקשות</ProceedingType>
        <PleaName>בקשה של נתבע 1 בקשה לפסילת שופט בכל ההליכים בין הצדדים </PleaName>
        <PartyBelonging>צד א'</PartyBelonging>
        <RoleName>מבקש 1</RoleName>
        <IsSubProceeding>TRUE</IsSubProceeding>
        <FullName>אסתרה בירגר גורדון</FullName>
        <FirstName>אסתרה</FirstName>
        <LastName>בירגר גורדון</LastName>
        <PartyPropertyName/>
        <AuthenticationTypeAndNumber>ת"ז 317747285</AuthenticationTypeAndNumber>
        <RepresentatedOrRepresentativesNames>מארי שני עשהאל</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269887133</CasePartyID>
        <PartyTypeID>1</PartyTypeID>
        <ActivityStatusID>1</ActivityStatusID>
        <PartyAliasID>3</PartyAliasID>
        <PartyAliasName>מבקש</PartyAliasName>
        <OrdinalNumber>1</OrdinalNumber>
        <LegalEntityID>71194976</LegalEntityID>
        <CaseLegalEntityID>125472841</CaseLegalEntityID>
        <AuthenticationTypeID>1</AuthenticationTypeID>
        <AuthenticationTypeName>ת"ז</AuthenticationTypeName>
        <LegalEntityNumber>317747285</LegalEntityNumber>
        <IsMainPartyType>false</IsMainPartyType>
        <CaseDisplayIdentifier>15866-08-23</CaseDisplayIdentifier>
        <CaseTypeID>10262</CaseTypeID>
        <CaseTypeName>תביעה לאחר הסדר התדיינויות במשפחה (תלה"מ)</CaseTypeName>
        <CaseName>גורדון נ' בירגר גורדון</CaseName>
        <FullAddress>אלעזר שמואלי 6/16 באר שבע </FullAddress>
        <MotionID>107954543</MotionID>
        <CasePleaID>0</CasePleaID>
        <FatherName>שלמה</FatherName>
        <LinkedCaseID>0</LinkedCaseID>
        <PartyID>1</PartyID>
        <CasePartyCategoryID>4</CasePartyCategoryID>
        <LegalEntityAddressID>88265131</LegalEntityAddressID>
        <PleaTypeID>60</PleaTypeID>
        <GroupPartyAlias>מבקשים</GroupPartyAlias>
        <IsConverted>false</IsConverted>
        <LegalEntityRegisteredNameID>10003380</LegalEntityRegisteredNameID>
        <LegalEntityNameID>95292085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אסתרה בירגר גורדון</PublicationProhibitedFullName>
      </CaseParties>
      <CaseParties>
        <PartyTypeName>צד</PartyTypeName>
        <ProceedingType>בקשות</ProceedingType>
        <PleaName>בקשה של נתבע 1 בקשה לפסילת שופט בכל ההליכים בין הצדדים </PleaName>
        <PartyBelonging>צד ב'</PartyBelonging>
        <RoleName>משיב 1</RoleName>
        <IsSubProceeding>TRUE</IsSubProceeding>
        <FullName>מרק גורדון</FullName>
        <FirstName>מרק</FirstName>
        <LastName>גורדון</LastName>
        <PartyPropertyName/>
        <AuthenticationTypeAndNumber>ת"ז 304558349</AuthenticationTypeAndNumber>
        <RepresentatedOrRepresentativesNames>מיטל אזולאי</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269887134</CasePartyID>
        <PartyTypeID>1</PartyTypeID>
        <ActivityStatusID>1</ActivityStatusID>
        <PartyAliasID>4</PartyAliasID>
        <PartyAliasName>משיב</PartyAliasName>
        <OrdinalNumber>1</OrdinalNumber>
        <LegalEntityID>71194953</LegalEntityID>
        <CaseLegalEntityID>125472839</CaseLegalEntityID>
        <AuthenticationTypeID>1</AuthenticationTypeID>
        <AuthenticationTypeName>ת"ז</AuthenticationTypeName>
        <LegalEntityNumber>304558349</LegalEntityNumber>
        <IsMainPartyType>false</IsMainPartyType>
        <CaseDisplayIdentifier>15866-08-23</CaseDisplayIdentifier>
        <CaseTypeID>10262</CaseTypeID>
        <CaseTypeName>תביעה לאחר הסדר התדיינויות במשפחה (תלה"מ)</CaseTypeName>
        <CaseName>גורדון נ' בירגר גורדון</CaseName>
        <FullAddress>יוהנה ז'בוטינסקי 60/34 באר שבע </FullAddress>
        <MotionID>107954543</MotionID>
        <CasePleaID>0</CasePleaID>
        <FatherName>ולדמיר</FatherName>
        <LinkedCaseID>0</LinkedCaseID>
        <PartyID>2</PartyID>
        <CasePartyCategoryID>4</CasePartyCategoryID>
        <LegalEntityAddressID>88265130</LegalEntityAddressID>
        <PleaTypeID>60</PleaTypeID>
        <GroupPartyAlias>משיבים</GroupPartyAlias>
        <IsConverted>false</IsConverted>
        <LegalEntityRegisteredNameID>10003379</LegalEntityRegisteredNameID>
        <LegalEntityNameID>95292084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מרק גורדון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אזולאי</FullName>
        <FirstName>מיטל</FirstName>
        <LastName>אזולאי</LastName>
        <PartyPropertyName/>
        <AuthenticationTypeAndNumber>מ.ר. 44222</AuthenticationTypeAndNumber>
        <RepresentatedOrRepresentativesNames>מרק גורדון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259241631</CasePartyID>
        <PartyTypeID>2</PartyTypeID>
        <ActivityStatusID>1</ActivityStatusID>
        <PartyAliasID>20</PartyAliasID>
        <PartyAliasName>בא כוח תובעים</PartyAliasName>
        <OrdinalNumber>1</OrdinalNumber>
        <LegalEntityID>12666160</LegalEntityID>
        <CaseLegalEntityID>125472840</CaseLegalEntityID>
        <AuthenticationTypeID>4</AuthenticationTypeID>
        <AuthenticationTypeName>מ.ר.</AuthenticationTypeName>
        <LegalEntityNumber>44222</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הפלמ"ח 99 באר שבע </FullAddress>
        <MotionID>0</MotionID>
        <CasePleaID>0</CasePleaID>
        <LinkedCaseID>0</LinkedCaseID>
        <PartyID>1</PartyID>
        <CasePartyCategoryID>2</CasePartyCategoryID>
        <LegalEntityAddressID>88737476</LegalEntityAddressID>
        <PleaTypeID>4</PleaTypeID>
        <LawyerOfficeName>משרד עו"ד: טנא-אזולאי-בן דוד</LawyerOfficeName>
        <LawyerOfficeID>430850</LawyerOfficeID>
        <GroupPartyAlias/>
        <IsConverted>false</IsConverted>
        <LegalEntityNameID>12388724</LegalEntityNameID>
        <RepresentatedNamesOfAssistant/>
        <LegalEntityTypeID>4</LegalEntityTypeID>
        <IsVerdictExists>false</IsVerdictExists>
        <IsAsirAzir>false</IsAsirAzir>
        <IsPublicationProhibited>false</IsPublicationProhibited>
        <PublicationProhibitedFullName>מיטל אזולאי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פסיכולוגית קלינית ליזה שמעי</FullName>
        <FirstName>פסיכולוגית</FirstName>
        <LastName>קלינית ליזה שמעי</LastName>
        <PartyPropertyName/>
        <AuthenticationTypeAndNumber>ת"ז </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267621528</CasePartyID>
        <PartyTypeID>3</PartyTypeID>
        <ActivityStatusID>1</ActivityStatusID>
        <OrdinalNumber>1</OrdinalNumber>
        <LegalEntityID>81790528</LegalEntityID>
        <CaseLegalEntityID>128131828</CaseLegalEntityID>
        <AssistantRoleID>33</AssistantRoleID>
        <AuthenticationTypeID>1</AuthenticationTypeID>
        <AuthenticationTypeName>ת"ז</AuthenticationTypeName>
        <IsMainPartyType>true</IsMainPartyType>
        <CaseDisplayIdentifier>15866-08-23</CaseDisplayIdentifier>
        <CaseTypeID>10262</CaseTypeID>
        <CaseTypeName>תביעה לאחר הסדר התדיינויות במשפחה (תלה"מ)</CaseTypeName>
        <CaseName>גורדון נ' בירגר גורדון</CaseName>
        <FullAddress>-  להבים</FullAddress>
        <EmailAddress>lizshim7@gmail.com</EmailAddress>
        <MotionID>0</MotionID>
        <CasePleaID>0</CasePleaID>
        <LinkedCaseID>0</LinkedCaseID>
        <PartyID>1</PartyID>
        <CasePartyCategoryID>2</CasePartyCategoryID>
        <LegalEntityAddressID>89073368</LegalEntityAddressID>
        <LegalEntityEmailAddressID>68364636</LegalEntityEmailAddressID>
        <PleaTypeID>4</PleaTypeID>
        <GroupPartyAlias/>
        <IsConverted>false</IsConverted>
        <LegalEntityNameID>96288056</LegalEntityNameID>
        <RepresentatedNamesOfAssistant/>
        <LegalEntityTypeID>1</LegalEntityTypeID>
        <IsVerdictExists>false</IsVerdictExists>
        <IsAsirAzir>false</IsAsirAzir>
        <IsPublicationProhibited>false</IsPublicationProhibited>
        <PublicationProhibitedFullName>פסיכולוגית קלינית ליזה שמעי</PublicationProhibitedFullName>
      </CaseParties>
    </CasePartiesSelectionDS>
    <DecisionName>החלטה</DecisionName>
    <CourtDisplayName>בית משפט לענייני משפחה בבאר שבע</CourtDisplayName>
    <IsCaseJudgePanel>false</IsCaseJudgePanel>
    <DecisionSignatureDate>2024-05-21T10:09:48.7245889+03:00</DecisionSignatureDate>
    <OpenCaseDate>2023-08-07T12:02:00+03:00</OpenCaseDate>
    <CaseFeeSum>0.000</CaseFeeSum>
    <DecisionTypeID>1</DecisionTypeID>
    <DecisionSignatureUserName>שי שמואל</DecisionSignatureUserName>
    <MotionID>107954543</MotionID>
    <DecisionSignatureDateHebrew>2024-05-21T10:09:48.7245889+03:00</DecisionSignatureDateHebrew>
    <MotionNumber>15</MotionNumber>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גורדון נ' בירגר גורדון</CaseName>
    <DecisionNumberInCase>64</DecisionNumberInCase>
  </dt_Decision>
  <dt_DecisionCase>
    <DecisionID>0</DecisionID>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260071117</CasePartyID>
        <PartyTypeID>2</PartyTypeID>
        <ActivityStatusID>1</ActivityStatusID>
        <PartyAliasID>105</PartyAliasID>
        <PartyAliasName>בא כוח מסייעים</PartyAliasName>
        <LegalEntityID>69484296</LegalEntityID>
        <CaseLegalEntityID>125785861</CaseLegalEntityID>
        <AuthenticationTypeID>4</AuthenticationTypeID>
        <AuthenticationTypeName>מ.ר.</AuthenticationTypeName>
        <LegalEntityNumber>54385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אסתרה בירגר גורדון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259471479</CasePartyID>
        <PartyTypeID>2</PartyTypeID>
        <ActivityStatusID>1</ActivityStatusID>
        <PartyAliasID>21</PartyAliasID>
        <PartyAliasName>בא כוח נתבעים</PartyAliasName>
        <LegalEntityID>78849107</LegalEntityID>
        <CaseLegalEntityID>125565330</CaseLegalEntityID>
        <AuthenticationTypeID>4</AuthenticationTypeID>
        <AuthenticationTypeName>מ.ר.</AuthenticationTypeName>
        <LegalEntityNumber>81526</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259241735</CasePartyID>
        <PartyTypeID>3</PartyTypeID>
        <ActivityStatusID>1</ActivityStatusID>
        <LegalEntityID>45212140</LegalEntityID>
        <CaseLegalEntityID>125472887</CaseLegalEntityID>
        <AssistantRoleID>33</AssistantRoleID>
        <AuthenticationTypeID>14</AuthenticationTypeID>
        <AuthenticationTypeName>רשויות מקומיות</AuthenticationTypeName>
        <LegalEntityNumber>10000000375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רומי בירגר גורדון (קטין)</FullName>
        <FirstName>רומי</FirstName>
        <LastName>בירגר גורדון</LastName>
        <PartyPropertyID>2</PartyPropertyID>
        <PartyPropertyName/>
        <AuthenticationTypeAndNumber>ת"ז 222024218</AuthenticationTypeAndNumber>
        <RepresentatedOrRepresentativesNames>נטע ממן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259241813</CasePartyID>
        <PartyTypeID>3</PartyTypeID>
        <ActivityStatusID>1</ActivityStatusID>
        <LegalEntityID>81276167</LegalEntityID>
        <CaseLegalEntityID>125472927</CaseLegalEntityID>
        <AssistantRoleID>24</AssistantRoleID>
        <AuthenticationTypeID>1</AuthenticationTypeID>
        <AuthenticationTypeName>ת"ז</AuthenticationTypeName>
        <LegalEntityNumber>222024218</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
        <MotionID>0</MotionID>
        <CasePleaID>0</CasePleaID>
        <BirthDate>2013-02-06T00:00:00+02:00</BirthDate>
        <FatherName>מרק</FatherName>
        <LinkedCaseID>0</LinkedCaseID>
        <PartyID>1</PartyID>
        <CasePartyCategoryID>2</CasePartyCategoryID>
        <PleaTypeID>4</PleaTypeID>
        <GroupPartyAlias/>
        <IsConverted>false</IsConverted>
        <LegalEntityRegisteredNameID>10380006</LegalEntityRegisteredNameID>
        <LegalEntityNameID>95292117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רומי בירגר גורדון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259994876</CasePartyID>
        <PartyTypeID>3</PartyTypeID>
        <ActivityStatusID>1</ActivityStatusID>
        <LegalEntityID>45305358</LegalEntityID>
        <CaseLegalEntityID>125758184</CaseLegalEntityID>
        <AssistantRoleID>26</AssistantRoleID>
        <AuthenticationTypeID>13</AuthenticationTypeID>
        <AuthenticationTypeName>משרדי ממשלה</AuthenticationTypeName>
        <LegalEntityNumber>570000935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ד' באר שבע (ליאת ממן)</FullName>
        <LastName>מחלקה לשירותים חברתיים ד' באר שבע (ליאת ממן)</LastName>
        <PartyPropertyName/>
        <AuthenticationTypeAndNumber>רשויות מקומיות 10000000415</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260284584</CasePartyID>
        <PartyTypeID>3</PartyTypeID>
        <ActivityStatusID>1</ActivityStatusID>
        <LegalEntityID>45228030</LegalEntityID>
        <CaseLegalEntityID>125853243</CaseLegalEntityID>
        <AssistantRoleID>16</AssistantRoleID>
        <AuthenticationTypeID>14</AuthenticationTypeID>
        <AuthenticationTypeName>רשויות מקומיות</AuthenticationTypeName>
        <LegalEntityNumber>10000000415</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ד' רבתי באר שבע </FullAddress>
        <EmailAddress>liatm2@br7.org.il</EmailAddress>
        <MotionID>0</MotionID>
        <CasePleaID>0</CasePleaID>
        <LinkedCaseID>0</LinkedCaseID>
        <PartyID>1</PartyID>
        <CasePartyCategoryID>2</CasePartyCategoryID>
        <LegalEntityAddressID>45781384</LegalEntityAddressID>
        <LegalEntityEmailAddressID>67868648</LegalEntityEmailAddressID>
        <PleaTypeID>4</PleaTypeID>
        <GroupPartyAlias/>
        <IsConverted>false</IsConverted>
        <LegalEntityRegisteredNameID>1949414</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ד' באר שבע (ליאת ממן)</PublicationProhibitedFullName>
      </CaseParties>
      <CaseParties>
        <PartyTypeName>צד</PartyTypeName>
        <ProceedingType>בקשות</ProceedingType>
        <PleaName>בקשה של נתבע 1 בקשה לפסילת שופט בכל ההליכים בין הצדדים </PleaName>
        <PartyBelonging>צד א'</PartyBelonging>
        <RoleName>מבקש 1</RoleName>
        <IsSubProceeding>TRUE</IsSubProceeding>
        <FullName>אסתרה בירגר גורדון</FullName>
        <FirstName>אסתרה</FirstName>
        <LastName>בירגר גורדון</LastName>
        <PartyPropertyName/>
        <AuthenticationTypeAndNumber>ת"ז 317747285</AuthenticationTypeAndNumber>
        <RepresentatedOrRepresentativesNames>מארי שני עשהאל</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269887133</CasePartyID>
        <PartyTypeID>1</PartyTypeID>
        <ActivityStatusID>1</ActivityStatusID>
        <PartyAliasID>3</PartyAliasID>
        <PartyAliasName>מבקש</PartyAliasName>
        <OrdinalNumber>1</OrdinalNumber>
        <LegalEntityID>71194976</LegalEntityID>
        <CaseLegalEntityID>125472841</CaseLegalEntityID>
        <AuthenticationTypeID>1</AuthenticationTypeID>
        <AuthenticationTypeName>ת"ז</AuthenticationTypeName>
        <LegalEntityNumber>317747285</LegalEntityNumber>
        <IsMainPartyType>false</IsMainPartyType>
        <CaseDisplayIdentifier>15866-08-23</CaseDisplayIdentifier>
        <CaseTypeID>10262</CaseTypeID>
        <CaseTypeName>תביעה לאחר הסדר התדיינויות במשפחה (תלה"מ)</CaseTypeName>
        <CaseName>גורדון נ' בירגר גורדון</CaseName>
        <FullAddress>אלעזר שמואלי 6/16 באר שבע </FullAddress>
        <MotionID>107954543</MotionID>
        <CasePleaID>0</CasePleaID>
        <FatherName>שלמה</FatherName>
        <LinkedCaseID>0</LinkedCaseID>
        <PartyID>1</PartyID>
        <CasePartyCategoryID>4</CasePartyCategoryID>
        <LegalEntityAddressID>88265131</LegalEntityAddressID>
        <PleaTypeID>60</PleaTypeID>
        <GroupPartyAlias>מבקשים</GroupPartyAlias>
        <IsConverted>false</IsConverted>
        <LegalEntityRegisteredNameID>10003380</LegalEntityRegisteredNameID>
        <LegalEntityNameID>95292085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אסתרה בירגר גורדון</PublicationProhibitedFullName>
      </CaseParties>
      <CaseParties>
        <PartyTypeName>צד</PartyTypeName>
        <ProceedingType>בקשות</ProceedingType>
        <PleaName>בקשה של נתבע 1 בקשה לפסילת שופט בכל ההליכים בין הצדדים </PleaName>
        <PartyBelonging>צד ב'</PartyBelonging>
        <RoleName>משיב 1</RoleName>
        <IsSubProceeding>TRUE</IsSubProceeding>
        <FullName>מרק גורדון</FullName>
        <FirstName>מרק</FirstName>
        <LastName>גורדון</LastName>
        <PartyPropertyName/>
        <AuthenticationTypeAndNumber>ת"ז 304558349</AuthenticationTypeAndNumber>
        <RepresentatedOrRepresentativesNames>מיטל אזולאי</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269887134</CasePartyID>
        <PartyTypeID>1</PartyTypeID>
        <ActivityStatusID>1</ActivityStatusID>
        <PartyAliasID>4</PartyAliasID>
        <PartyAliasName>משיב</PartyAliasName>
        <OrdinalNumber>1</OrdinalNumber>
        <LegalEntityID>71194953</LegalEntityID>
        <CaseLegalEntityID>125472839</CaseLegalEntityID>
        <AuthenticationTypeID>1</AuthenticationTypeID>
        <AuthenticationTypeName>ת"ז</AuthenticationTypeName>
        <LegalEntityNumber>304558349</LegalEntityNumber>
        <IsMainPartyType>false</IsMainPartyType>
        <CaseDisplayIdentifier>15866-08-23</CaseDisplayIdentifier>
        <CaseTypeID>10262</CaseTypeID>
        <CaseTypeName>תביעה לאחר הסדר התדיינויות במשפחה (תלה"מ)</CaseTypeName>
        <CaseName>גורדון נ' בירגר גורדון</CaseName>
        <FullAddress>יוהנה ז'בוטינסקי 60/34 באר שבע </FullAddress>
        <MotionID>107954543</MotionID>
        <CasePleaID>0</CasePleaID>
        <FatherName>ולדמיר</FatherName>
        <LinkedCaseID>0</LinkedCaseID>
        <PartyID>2</PartyID>
        <CasePartyCategoryID>4</CasePartyCategoryID>
        <LegalEntityAddressID>88265130</LegalEntityAddressID>
        <PleaTypeID>60</PleaTypeID>
        <GroupPartyAlias>משיבים</GroupPartyAlias>
        <IsConverted>false</IsConverted>
        <LegalEntityRegisteredNameID>10003379</LegalEntityRegisteredNameID>
        <LegalEntityNameID>95292084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מרק גורדון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אזולאי</FullName>
        <FirstName>מיטל</FirstName>
        <LastName>אזולאי</LastName>
        <PartyPropertyName/>
        <AuthenticationTypeAndNumber>מ.ר. 44222</AuthenticationTypeAndNumber>
        <RepresentatedOrRepresentativesNames>מרק גורדון</RepresentatedOrRepresentativesNames>
        <RepresentatedOrRepresentativesCount>1</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259241631</CasePartyID>
        <PartyTypeID>2</PartyTypeID>
        <ActivityStatusID>1</ActivityStatusID>
        <PartyAliasID>20</PartyAliasID>
        <PartyAliasName>בא כוח תובעים</PartyAliasName>
        <OrdinalNumber>1</OrdinalNumber>
        <LegalEntityID>12666160</LegalEntityID>
        <CaseLegalEntityID>125472840</CaseLegalEntityID>
        <AuthenticationTypeID>4</AuthenticationTypeID>
        <AuthenticationTypeName>מ.ר.</AuthenticationTypeName>
        <LegalEntityNumber>44222</LegalEntityNumber>
        <IsMainPartyType>true</IsMainPartyType>
        <CaseDisplayIdentifier>15866-08-23</CaseDisplayIdentifier>
        <CaseTypeID>10262</CaseTypeID>
        <CaseTypeName>תביעה לאחר הסדר התדיינויות במשפחה (תלה"מ)</CaseTypeName>
        <CaseName>גורדון נ' בירגר גורדון</CaseName>
        <FullAddress>הפלמ"ח 99 באר שבע </FullAddress>
        <MotionID>0</MotionID>
        <CasePleaID>0</CasePleaID>
        <LinkedCaseID>0</LinkedCaseID>
        <PartyID>1</PartyID>
        <CasePartyCategoryID>2</CasePartyCategoryID>
        <LegalEntityAddressID>88737476</LegalEntityAddressID>
        <PleaTypeID>4</PleaTypeID>
        <LawyerOfficeName>משרד עו"ד: טנא-אזולאי-בן דוד</LawyerOfficeName>
        <LawyerOfficeID>430850</LawyerOfficeID>
        <GroupPartyAlias/>
        <IsConverted>false</IsConverted>
        <LegalEntityNameID>12388724</LegalEntityNameID>
        <RepresentatedNamesOfAssistant/>
        <LegalEntityTypeID>4</LegalEntityTypeID>
        <IsVerdictExists>false</IsVerdictExists>
        <IsAsirAzir>false</IsAsirAzir>
        <IsPublicationProhibited>false</IsPublicationProhibited>
        <PublicationProhibitedFullName>מיטל אזולאי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פסיכולוגית קלינית ליזה שמעי</FullName>
        <FirstName>פסיכולוגית</FirstName>
        <LastName>קלינית ליזה שמעי</LastName>
        <PartyPropertyName/>
        <AuthenticationTypeAndNumber>ת"ז </AuthenticationTypeAndNumber>
        <RepresentatedOrRepresentativesNames/>
        <RepresentatedOrRepresentativesCount>0</RepresentatedOrRepresentativesCount>
        <InvitedBy/>
        <CaseID>80496278</CaseID>
        <CaseJudicialPersonPresentationDS>
          <CaseJudicalPersonActive>
            <CaseID>80496278</CaseID>
            <MotionID>107954543</MotionID>
            <JudicialPersonID>033072794@GOV.IL</JudicialPersonID>
            <JudicialPersonTypeID>1</JudicialPersonTypeID>
            <JudicialTypeID>1</JudicialTypeID>
            <IsChairman>false</IsChairman>
            <TreatmentStartDate>2024-05-08T13:40:37.203+03:00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267621528</CasePartyID>
        <PartyTypeID>3</PartyTypeID>
        <ActivityStatusID>1</ActivityStatusID>
        <OrdinalNumber>1</OrdinalNumber>
        <LegalEntityID>81790528</LegalEntityID>
        <CaseLegalEntityID>128131828</CaseLegalEntityID>
        <AssistantRoleID>33</AssistantRoleID>
        <AuthenticationTypeID>1</AuthenticationTypeID>
        <AuthenticationTypeName>ת"ז</AuthenticationTypeName>
        <IsMainPartyType>true</IsMainPartyType>
        <CaseDisplayIdentifier>15866-08-23</CaseDisplayIdentifier>
        <CaseTypeID>10262</CaseTypeID>
        <CaseTypeName>תביעה לאחר הסדר התדיינויות במשפחה (תלה"מ)</CaseTypeName>
        <CaseName>גורדון נ' בירגר גורדון</CaseName>
        <FullAddress>-  להבים</FullAddress>
        <EmailAddress>lizshim7@gmail.com</EmailAddress>
        <MotionID>0</MotionID>
        <CasePleaID>0</CasePleaID>
        <LinkedCaseID>0</LinkedCaseID>
        <PartyID>1</PartyID>
        <CasePartyCategoryID>2</CasePartyCategoryID>
        <LegalEntityAddressID>89073368</LegalEntityAddressID>
        <LegalEntityEmailAddressID>68364636</LegalEntityEmailAddressID>
        <PleaTypeID>4</PleaTypeID>
        <GroupPartyAlias/>
        <IsConverted>false</IsConverted>
        <LegalEntityNameID>96288056</LegalEntityNameID>
        <RepresentatedNamesOfAssistant/>
        <LegalEntityTypeID>1</LegalEntityTypeID>
        <IsVerdictExists>false</IsVerdictExists>
        <IsAsirAzir>false</IsAsirAzir>
        <IsPublicationProhibited>false</IsPublicationProhibited>
        <PublicationProhibitedFullName>פסיכולוגית קלינית ליזה שמעי</PublicationProhibitedFullName>
      </CaseParties>
    </CasePartiesSelectionDS>
    <CaseName>גורדון נ' בירגר גורדון</CaseName>
    <CaseDisplayIdentifier>15866-08-23</CaseDisplayIdentifier>
    <CaseInterestID>10510</CaseInterestID>
    <CaseTypeShortName>תלה"מ</CaseTypeShortName>
  </dt_DecisionCase>
  <dt_DecisionJudgePanel>
    <JudgeID>033072794@GOV.IL</JudgeID>
    <DisplayName>שי שמואל</DisplayName>
    <RoleName>שופט</RoleName>
    <UserTitleName>שופט</UserTitleName>
  </dt_DecisionJudgePanel>
  <dt_LegalEntityDetails>
    <Fax>08-6417556</Fax>
    <Phone>08-6417301</Phone>
    <AddressDesc/>
    <PartyID>1</PartyID>
    <PartyTypeID>3</PartyTypeID>
    <DecisionID>0</DecisionID>
    <AssistantRoleID>33</AssistantRoleID>
    <StreetName> יעקב דורי 3</StreetName>
    <CityName>באר שבע</CityName>
    <FullName/>
    <Email>belat@br7.org.il</Email>
    <IsPublicationProhibited>false</IsPublicationProhibited>
  </dt_LegalEntityDetails>
  <dt_LegalEntityDetails>
    <Fax/>
    <Phone/>
    <AddressDesc/>
    <PartyID>1</PartyID>
    <PartyTypeID>3</PartyTypeID>
    <DecisionID>0</DecisionID>
    <AssistantRoleID>24</AssistantRoleID>
    <StreetName/>
    <CityName/>
    <FullName>רומי  בירגר גורדון</FullName>
    <Email/>
    <IsPublicationProhibited>false</IsPublicationProhibited>
  </dt_LegalEntityDetails>
  <dt_LegalEntityDetails>
    <Fax>077-4704998</Fax>
    <Phone>08-9780604</Phone>
    <PartyID>2</PartyID>
    <PartyTypeID>2</PartyTypeID>
    <DecisionID>0</DecisionID>
    <StreetName>סוקולוב 26</StreetName>
    <ZipCode>8430905</ZipCode>
    <CityName>באר שבע</CityName>
    <FullName>מארי שני עשהאל</FullName>
    <Email>law.mari1214@gmail.com</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Fax>08-6493182</Fax>
    <Phone>08-6206403</Phone>
    <AddressDesc/>
    <PartyID>1</PartyID>
    <PartyTypeID>3</PartyTypeID>
    <DecisionID>0</DecisionID>
    <AssistantRoleID>16</AssistantRoleID>
    <StreetName>ד' רבתי</StreetName>
    <CityName>באר שבע</CityName>
    <FullName> מחלקה לשירותים חברתיים ד' באר שבע (ליאת ממן)</FullName>
    <Email>liatm2@br7.org.il</Email>
    <IsPublicationProhibited>false</IsPublicationProhibited>
  </dt_LegalEntityDetails>
  <dt_LegalEntityDetails>
    <PartyID>1</PartyID>
    <PartyTypeID>1</PartyTypeID>
    <DecisionID>0</DecisionID>
    <StreetName>יוהנה ז'בוטינסקי 60/34</StreetName>
    <CityName>באר שבע</CityName>
    <FullName>מרק גורדון</FullName>
    <IsPublicationProhibited>false</IsPublicationProhibited>
  </dt_LegalEntityDetails>
  <dt_LegalEntityDetails>
    <Fax>08-6230733</Fax>
    <Phone>08-6651990</Phone>
    <PartyID>1</PartyID>
    <PartyTypeID>2</PartyTypeID>
    <DecisionID>0</DecisionID>
    <StreetName>הפלמ"ח 99</StreetName>
    <CityName>באר שבע</CityName>
    <FullName>מיטל אזולאי</FullName>
    <Email>tab.lawoffice@gmail.com</Email>
    <IsPublicationProhibited>false</IsPublicationProhibited>
  </dt_LegalEntityDetails>
  <dt_LegalEntityDetails>
    <PartyID>2</PartyID>
    <PartyTypeID>1</PartyTypeID>
    <DecisionID>0</DecisionID>
    <StreetName>אלעזר שמואלי 6/16</StreetName>
    <CityName>באר שבע</CityName>
    <FullName>אסתרה  בירגר גורדון</FullName>
    <IsPublicationProhibited>false</IsPublicationProhibited>
  </dt_LegalEntityDetails>
  <dt_LegalEntityDetails>
    <Fax/>
    <Phone/>
    <AddressDesc>להבים</AddressDesc>
    <PartyID>1</PartyID>
    <PartyTypeID>3</PartyTypeID>
    <DecisionID>0</DecisionID>
    <AssistantRoleID>33</AssistantRoleID>
    <StreetName>-</StreetName>
    <CityName/>
    <FullName>פסיכולוגית  קלינית ליזה שמעי </FullName>
    <Email>lizshim7@gmail.com</Email>
    <IsPublicationProhibited>false</IsPublicationProhibited>
  </dt_LegalEntityDetails>
  <dt_CaseJudicalPersonActive>
    <CaseJudicalPerson>שופט שי שמואל</CaseJudicalPerson>
  </dt_CaseJudicalPersonActive>
  <dt_Sitting>
    <PreviousMeetingDate>2024-03-12T09:00:00+02:00</PreviousMeetingDate>
    <PreviousSittingTypeID>1</PreviousSittingTypeID>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FD3B9-A052-49E6-A17C-4F60420F7C13}">
  <ds:schemaRefs/>
</ds:datastoreItem>
</file>

<file path=customXml/itemProps2.xml><?xml version="1.0" encoding="utf-8"?>
<ds:datastoreItem xmlns:ds="http://schemas.openxmlformats.org/officeDocument/2006/customXml" ds:itemID="{F87E1F7A-B9B2-433F-B96D-2DB23E79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4008</Words>
  <Characters>20044</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2024-12-24T07:57:00Z</dcterms:created>
  <dcterms:modified xsi:type="dcterms:W3CDTF">2024-12-24T07:57:00Z</dcterms:modified>
</cp:coreProperties>
</file>